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jpeg" ContentType="image/jpeg"/>
  <Override PartName="/word/media/image3.png" ContentType="image/png"/>
  <Override PartName="/word/media/image2.png" ContentType="image/png"/>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Override PartName="/word/_rels/numbering.xml.rels" ContentType="application/vnd.openxmlformats-package.relationships+xml"/>
  <Override PartName="/customXml/item1.xml" ContentType="application/xml"/>
  <Override PartName="/customXml/item2.xml" ContentType="application/xml"/>
  <Override PartName="/customXml/itemProps1.xml" ContentType="application/vnd.openxmlformats-officedocument.customXmlProperties+xml"/>
  <Override PartName="/customXml/item3.xml" ContentType="application/xml"/>
  <Override PartName="/customXml/itemProps2.xml" ContentType="application/vnd.openxmlformats-officedocument.customXmlProperties+xml"/>
  <Override PartName="/customXml/item4.xml" ContentType="application/xml"/>
  <Override PartName="/customXml/itemProps3.xml" ContentType="application/vnd.openxmlformats-officedocument.customXmlProperties+xml"/>
  <Override PartName="/customXml/itemProps4.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40" w:before="0" w:after="0"/>
        <w:jc w:val="both"/>
        <w:rPr>
          <w:rFonts w:ascii="Arial" w:hAnsi="Arial" w:eastAsia="Times New Roman" w:cs="Arial"/>
          <w:color w:val="000000"/>
          <w:sz w:val="18"/>
          <w:szCs w:val="18"/>
          <w:lang w:eastAsia="es-ES"/>
        </w:rPr>
      </w:pPr>
      <w:r>
        <w:rPr/>
      </w:r>
    </w:p>
    <w:tbl>
      <w:tblPr>
        <w:tblStyle w:val="Listamedia1-nfasis6"/>
        <w:tblpPr w:vertAnchor="text" w:horzAnchor="margin" w:tblpXSpec="right" w:leftFromText="141" w:rightFromText="141" w:tblpY="80"/>
        <w:tblW w:w="8282" w:type="dxa"/>
        <w:jc w:val="right"/>
        <w:tblInd w:w="0" w:type="dxa"/>
        <w:tblLayout w:type="fixed"/>
        <w:tblCellMar>
          <w:top w:w="0" w:type="dxa"/>
          <w:left w:w="108" w:type="dxa"/>
          <w:bottom w:w="0" w:type="dxa"/>
          <w:right w:w="108" w:type="dxa"/>
        </w:tblCellMar>
        <w:tblLook w:firstRow="1" w:noVBand="1" w:lastRow="0" w:firstColumn="1" w:lastColumn="0" w:noHBand="0" w:val="04a0"/>
      </w:tblPr>
      <w:tblGrid>
        <w:gridCol w:w="8282"/>
      </w:tblGrid>
      <w:tr>
        <w:trPr>
          <w:trHeight w:val="508" w:hRule="atLeast"/>
          <w:cnfStyle w:val="100000000000" w:firstRow="1" w:lastRow="0" w:firstColumn="0" w:lastColumn="0" w:oddVBand="0" w:evenVBand="0" w:oddHBand="0" w:evenHBand="0" w:firstRowFirstColumn="0" w:firstRowLastColumn="0" w:lastRowFirstColumn="0" w:lastRowLastColumn="0"/>
        </w:trPr>
        <w:tc>
          <w:tcPr>
            <w:tcW w:w="8282" w:type="dxa"/>
            <w:cnfStyle w:val="001000000000" w:firstRow="0" w:lastRow="0" w:firstColumn="1" w:lastColumn="0" w:oddVBand="0" w:evenVBand="0" w:oddHBand="0" w:evenHBand="0" w:firstRowFirstColumn="0" w:firstRowLastColumn="0" w:lastRowFirstColumn="0" w:lastRowLastColumn="0"/>
            <w:tcBorders>
              <w:top w:val="nil"/>
              <w:bottom w:val="nil"/>
            </w:tcBorders>
          </w:tcPr>
          <w:p>
            <w:pPr>
              <w:pStyle w:val="Normal"/>
              <w:widowControl w:val="false"/>
              <w:suppressAutoHyphens w:val="true"/>
              <w:spacing w:lineRule="auto" w:line="240" w:before="0" w:after="0"/>
              <w:jc w:val="right"/>
              <w:rPr>
                <w:rFonts w:ascii="Arial" w:hAnsi="Arial" w:eastAsia="Times New Roman" w:cs="Arial"/>
                <w:color w:val="EF782D"/>
                <w:sz w:val="40"/>
                <w:szCs w:val="40"/>
                <w:lang w:eastAsia="es-ES"/>
              </w:rPr>
            </w:pPr>
            <w:r>
              <w:rPr>
                <w:rFonts w:eastAsia="Times New Roman" w:cs="Arial" w:ascii="Arial" w:hAnsi="Arial"/>
                <w:b/>
                <w:bCs/>
                <w:color w:val="EF782D"/>
                <w:kern w:val="0"/>
                <w:sz w:val="40"/>
                <w:szCs w:val="40"/>
                <w:lang w:eastAsia="es-ES" w:bidi="ar-SA"/>
              </w:rPr>
              <w:t xml:space="preserve">CAMINO DE KUMANO   </w:t>
            </w:r>
          </w:p>
        </w:tc>
      </w:tr>
    </w:tbl>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drawing>
          <wp:anchor behindDoc="0" distT="0" distB="0" distL="114300" distR="0" simplePos="0" locked="0" layoutInCell="0" allowOverlap="1" relativeHeight="16">
            <wp:simplePos x="0" y="0"/>
            <wp:positionH relativeFrom="margin">
              <wp:align>right</wp:align>
            </wp:positionH>
            <wp:positionV relativeFrom="margin">
              <wp:posOffset>1424940</wp:posOffset>
            </wp:positionV>
            <wp:extent cx="6188710" cy="983615"/>
            <wp:effectExtent l="0" t="0" r="0" b="0"/>
            <wp:wrapSquare wrapText="bothSides"/>
            <wp:docPr id="1" name="Imagen 1" descr="Imagen que contiene exterior, cerca, caballo, edifici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magen que contiene exterior, cerca, caballo, edificio&#10;&#10;Descripción generada automáticamente"/>
                    <pic:cNvPicPr>
                      <a:picLocks noChangeAspect="1" noChangeArrowheads="1"/>
                    </pic:cNvPicPr>
                  </pic:nvPicPr>
                  <pic:blipFill>
                    <a:blip r:embed="rId2"/>
                    <a:srcRect l="0" t="12840" r="0" b="0"/>
                    <a:stretch>
                      <a:fillRect/>
                    </a:stretch>
                  </pic:blipFill>
                  <pic:spPr bwMode="auto">
                    <a:xfrm>
                      <a:off x="0" y="0"/>
                      <a:ext cx="6188710" cy="983615"/>
                    </a:xfrm>
                    <a:prstGeom prst="rect">
                      <a:avLst/>
                    </a:prstGeom>
                  </pic:spPr>
                </pic:pic>
              </a:graphicData>
            </a:graphic>
          </wp:anchor>
        </w:drawing>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tbl>
      <w:tblPr>
        <w:tblStyle w:val="Cuadrculamedia1-nfasis6"/>
        <w:tblpPr w:vertAnchor="text" w:horzAnchor="margin" w:tblpXSpec="right" w:leftFromText="141" w:rightFromText="141" w:tblpY="-49"/>
        <w:tblW w:w="9678" w:type="dxa"/>
        <w:jc w:val="right"/>
        <w:tblInd w:w="0" w:type="dxa"/>
        <w:shd w:fill="FDE4D0" w:val="clear"/>
        <w:tblLayout w:type="fixed"/>
        <w:tblCellMar>
          <w:top w:w="0" w:type="dxa"/>
          <w:left w:w="108" w:type="dxa"/>
          <w:bottom w:w="0" w:type="dxa"/>
          <w:right w:w="108" w:type="dxa"/>
        </w:tblCellMar>
        <w:tblLook w:firstRow="1" w:noVBand="1" w:lastRow="0" w:firstColumn="1" w:lastColumn="0" w:noHBand="0" w:val="04a0"/>
      </w:tblPr>
      <w:tblGrid>
        <w:gridCol w:w="9678"/>
      </w:tblGrid>
      <w:tr>
        <w:trPr>
          <w:trHeight w:val="1089" w:hRule="atLeast"/>
          <w:cnfStyle w:val="100000000000" w:firstRow="1" w:lastRow="0" w:firstColumn="0" w:lastColumn="0" w:oddVBand="0" w:evenVBand="0" w:oddHBand="0" w:evenHBand="0" w:firstRowFirstColumn="0" w:firstRowLastColumn="0" w:lastRowFirstColumn="0" w:lastRowLastColumn="0"/>
        </w:trPr>
        <w:tc>
          <w:tcPr>
            <w:tcW w:w="9678" w:type="dxa"/>
            <w:cnfStyle w:val="001000000000" w:firstRow="0" w:lastRow="0" w:firstColumn="1" w:lastColumn="0" w:oddVBand="0" w:evenVBand="0" w:oddHBand="0" w:evenHBand="0" w:firstRowFirstColumn="0" w:firstRowLastColumn="0" w:lastRowFirstColumn="0" w:lastRowLastColumn="0"/>
            <w:tcBorders/>
            <w:shd w:color="auto" w:fill="FDE4D0" w:themeFill="accent6" w:themeFillTint="3f" w:val="clear"/>
            <w:vAlign w:val="center"/>
          </w:tcPr>
          <w:p>
            <w:pPr>
              <w:pStyle w:val="Normal"/>
              <w:widowControl w:val="false"/>
              <w:suppressAutoHyphens w:val="true"/>
              <w:spacing w:lineRule="auto" w:line="240" w:before="0" w:after="0"/>
              <w:ind w:left="1410" w:hanging="1410"/>
              <w:jc w:val="left"/>
              <w:rPr>
                <w:rFonts w:ascii="Arial" w:hAnsi="Arial" w:eastAsia="Arial" w:cs="Arial"/>
                <w:b w:val="false"/>
                <w:b w:val="false"/>
                <w:bCs w:val="false"/>
                <w:sz w:val="18"/>
                <w:szCs w:val="18"/>
              </w:rPr>
            </w:pPr>
            <w:r>
              <w:rPr>
                <w:rFonts w:eastAsia="Times New Roman" w:cs="Arial" w:ascii="Arial" w:hAnsi="Arial"/>
                <w:b/>
                <w:bCs/>
                <w:color w:val="EF782D"/>
                <w:kern w:val="0"/>
                <w:sz w:val="18"/>
                <w:szCs w:val="18"/>
                <w:lang w:eastAsia="es-ES" w:bidi="ar-SA"/>
              </w:rPr>
              <w:t>Visitando</w:t>
            </w:r>
            <w:r>
              <w:rPr>
                <w:rFonts w:eastAsia="Times New Roman" w:cs="Arial" w:ascii="Arial" w:hAnsi="Arial"/>
                <w:b/>
                <w:bCs/>
                <w:color w:val="E36C0A" w:themeColor="accent6" w:themeShade="bf"/>
                <w:kern w:val="0"/>
                <w:sz w:val="18"/>
                <w:szCs w:val="18"/>
                <w:lang w:eastAsia="es-ES" w:bidi="ar-SA"/>
              </w:rPr>
              <w:t>:</w:t>
            </w:r>
            <w:r>
              <w:rPr>
                <w:rFonts w:eastAsia="Times New Roman" w:cs="Arial" w:ascii="Arial" w:hAnsi="Arial"/>
                <w:b/>
                <w:bCs/>
                <w:color w:val="000000"/>
                <w:kern w:val="0"/>
                <w:sz w:val="18"/>
                <w:szCs w:val="18"/>
                <w:lang w:eastAsia="es-ES" w:bidi="ar-SA"/>
              </w:rPr>
              <w:tab/>
            </w:r>
            <w:r>
              <w:rPr>
                <w:rFonts w:eastAsia="Arial" w:cs="Arial" w:ascii="Arial" w:hAnsi="Arial"/>
                <w:b/>
                <w:bCs/>
                <w:kern w:val="0"/>
                <w:sz w:val="18"/>
                <w:szCs w:val="18"/>
                <w:lang w:eastAsia="en-US" w:bidi="ar-SA"/>
              </w:rPr>
              <w:t>Kioto – Hiroshima – Koyasan – Kumano – Osaka – Kanazawa – Shirakawago – Takayama – Hakone –Tokio</w:t>
            </w:r>
          </w:p>
          <w:p>
            <w:pPr>
              <w:pStyle w:val="Normal"/>
              <w:widowControl w:val="false"/>
              <w:suppressAutoHyphens w:val="true"/>
              <w:spacing w:lineRule="auto" w:line="240" w:before="0" w:after="0"/>
              <w:ind w:left="1410" w:hanging="1410"/>
              <w:jc w:val="left"/>
              <w:rPr>
                <w:rFonts w:ascii="Arial" w:hAnsi="Arial" w:eastAsia="Times New Roman" w:cs="Arial"/>
                <w:b w:val="false"/>
                <w:b w:val="false"/>
                <w:bCs w:val="false"/>
                <w:color w:val="000000"/>
                <w:sz w:val="18"/>
                <w:szCs w:val="18"/>
                <w:lang w:val="es-MX" w:eastAsia="es-ES"/>
              </w:rPr>
            </w:pPr>
            <w:r>
              <w:rPr>
                <w:rFonts w:eastAsia="Times New Roman" w:cs="Arial" w:ascii="Arial" w:hAnsi="Arial"/>
                <w:b/>
                <w:bCs/>
                <w:color w:val="E36C0A" w:themeColor="accent6" w:themeShade="bf"/>
                <w:kern w:val="0"/>
                <w:sz w:val="18"/>
                <w:szCs w:val="18"/>
                <w:lang w:val="es-MX" w:eastAsia="es-ES" w:bidi="ar-SA"/>
              </w:rPr>
              <w:t>Salidas:</w:t>
            </w:r>
            <w:r>
              <w:rPr>
                <w:rFonts w:eastAsia="Times New Roman" w:cs="Arial" w:ascii="Arial" w:hAnsi="Arial"/>
                <w:b/>
                <w:bCs/>
                <w:color w:val="000000"/>
                <w:kern w:val="0"/>
                <w:sz w:val="18"/>
                <w:szCs w:val="18"/>
                <w:lang w:val="es-MX" w:eastAsia="es-ES" w:bidi="ar-SA"/>
              </w:rPr>
              <w:tab/>
              <w:t>Especificas 12 Marzo al 21 de Noviembre 2025</w:t>
            </w:r>
          </w:p>
          <w:p>
            <w:pPr>
              <w:pStyle w:val="Normal"/>
              <w:widowControl w:val="false"/>
              <w:suppressAutoHyphens w:val="true"/>
              <w:spacing w:lineRule="auto" w:line="240" w:before="0" w:after="0"/>
              <w:ind w:left="1410" w:hanging="1410"/>
              <w:jc w:val="left"/>
              <w:rPr>
                <w:rFonts w:ascii="Arial" w:hAnsi="Arial" w:eastAsia="Times New Roman" w:cs="Arial"/>
                <w:color w:val="000000"/>
                <w:sz w:val="18"/>
                <w:szCs w:val="18"/>
                <w:lang w:val="es-ES_tradnl" w:eastAsia="es-ES"/>
              </w:rPr>
            </w:pPr>
            <w:r>
              <w:rPr>
                <w:rFonts w:eastAsia="Times New Roman" w:cs="Arial" w:ascii="Arial" w:hAnsi="Arial"/>
                <w:b/>
                <w:bCs/>
                <w:color w:val="E36C0A" w:themeColor="accent6" w:themeShade="bf"/>
                <w:kern w:val="0"/>
                <w:sz w:val="18"/>
                <w:szCs w:val="18"/>
                <w:lang w:val="es-ES_tradnl" w:eastAsia="es-ES" w:bidi="ar-SA"/>
              </w:rPr>
              <w:t>Duración:</w:t>
            </w:r>
            <w:r>
              <w:rPr>
                <w:rFonts w:eastAsia="Times New Roman" w:cs="Arial" w:ascii="Arial" w:hAnsi="Arial"/>
                <w:b/>
                <w:bCs/>
                <w:color w:val="000000"/>
                <w:kern w:val="0"/>
                <w:sz w:val="18"/>
                <w:szCs w:val="18"/>
                <w:lang w:val="es-ES_tradnl" w:eastAsia="es-ES" w:bidi="ar-SA"/>
              </w:rPr>
              <w:tab/>
              <w:t>14 días / 13 noches (opera mínimo con 2 personas)</w:t>
            </w:r>
          </w:p>
          <w:p>
            <w:pPr>
              <w:pStyle w:val="Normal"/>
              <w:widowControl w:val="false"/>
              <w:suppressAutoHyphens w:val="true"/>
              <w:spacing w:lineRule="auto" w:line="240" w:before="0" w:after="0"/>
              <w:ind w:left="1410" w:hanging="1410"/>
              <w:jc w:val="left"/>
              <w:rPr>
                <w:rFonts w:ascii="Arial" w:hAnsi="Arial" w:eastAsia="Times New Roman" w:cs="Arial"/>
                <w:b w:val="false"/>
                <w:b w:val="false"/>
                <w:color w:val="000000"/>
                <w:sz w:val="18"/>
                <w:szCs w:val="18"/>
                <w:lang w:val="es-ES_tradnl" w:eastAsia="es-ES"/>
              </w:rPr>
            </w:pPr>
            <w:r>
              <w:rPr>
                <w:rFonts w:eastAsia="Times New Roman" w:cs="Arial" w:ascii="Arial" w:hAnsi="Arial"/>
                <w:b/>
                <w:bCs/>
                <w:color w:val="E36C0A" w:themeColor="accent6" w:themeShade="bf"/>
                <w:kern w:val="0"/>
                <w:sz w:val="18"/>
                <w:szCs w:val="18"/>
                <w:lang w:val="es-ES_tradnl" w:eastAsia="es-ES" w:bidi="ar-SA"/>
              </w:rPr>
              <w:t xml:space="preserve">Alimentos:          </w:t>
            </w:r>
            <w:r>
              <w:rPr>
                <w:rFonts w:eastAsia="Times New Roman" w:cs="Arial" w:ascii="Arial" w:hAnsi="Arial"/>
                <w:b/>
                <w:bCs/>
                <w:kern w:val="0"/>
                <w:sz w:val="18"/>
                <w:szCs w:val="18"/>
                <w:lang w:val="es-ES_tradnl" w:eastAsia="es-ES" w:bidi="ar-SA"/>
              </w:rPr>
              <w:t xml:space="preserve">13 desayunos, 6 almuerzos, 2 cenas y 1 box lunch </w:t>
            </w:r>
          </w:p>
        </w:tc>
      </w:tr>
    </w:tbl>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t>ITINERARIO DE VIAJE:</w:t>
      </w:r>
    </w:p>
    <w:p>
      <w:pPr>
        <w:pStyle w:val="Normal"/>
        <w:spacing w:lineRule="auto" w:line="240" w:before="0" w:after="0"/>
        <w:jc w:val="both"/>
        <w:rPr>
          <w:rFonts w:ascii="Arial" w:hAnsi="Arial" w:eastAsia="Arial" w:cs="Arial"/>
          <w:color w:val="000000"/>
          <w:sz w:val="14"/>
          <w:szCs w:val="14"/>
        </w:rPr>
      </w:pPr>
      <w:r>
        <w:rPr>
          <w:rFonts w:eastAsia="Arial" w:cs="Arial" w:ascii="Arial" w:hAnsi="Arial"/>
          <w:color w:val="000000"/>
          <w:sz w:val="14"/>
          <w:szCs w:val="14"/>
        </w:rPr>
      </w:r>
    </w:p>
    <w:p>
      <w:pPr>
        <w:pStyle w:val="Normal"/>
        <w:spacing w:lineRule="auto" w:line="240" w:before="0" w:after="0"/>
        <w:jc w:val="both"/>
        <w:rPr>
          <w:rFonts w:ascii="Arial" w:hAnsi="Arial" w:eastAsia="Arial" w:cs="Arial"/>
          <w:b/>
          <w:b/>
          <w:color w:val="EF782D"/>
          <w:sz w:val="18"/>
          <w:szCs w:val="18"/>
        </w:rPr>
      </w:pPr>
      <w:bookmarkStart w:id="0" w:name="_heading=h.gjdgxs"/>
      <w:bookmarkEnd w:id="0"/>
      <w:r>
        <w:rPr>
          <w:rFonts w:eastAsia="Arial" w:cs="Arial" w:ascii="Arial" w:hAnsi="Arial"/>
          <w:b/>
          <w:color w:val="EF782D"/>
          <w:sz w:val="18"/>
          <w:szCs w:val="18"/>
        </w:rPr>
        <w:t xml:space="preserve">Día 1   Kansai – Kioto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 xml:space="preserve">Llegada al Aeropuerto Internacional de Kansai (o Itami). Después del trámite de inmigración y aduana, recepción por asistente de habla española. Traslado al hotel en </w:t>
      </w:r>
      <w:r>
        <w:rPr>
          <w:rFonts w:cs="Arial" w:ascii="Arial" w:hAnsi="Arial"/>
          <w:b/>
          <w:color w:val="000000" w:themeColor="text1"/>
          <w:sz w:val="18"/>
          <w:szCs w:val="18"/>
        </w:rPr>
        <w:t>servicio regular</w:t>
      </w:r>
      <w:r>
        <w:rPr>
          <w:rFonts w:cs="Arial" w:ascii="Arial" w:hAnsi="Arial"/>
          <w:color w:val="000000" w:themeColor="text1"/>
          <w:sz w:val="18"/>
          <w:szCs w:val="18"/>
        </w:rPr>
        <w:t xml:space="preserve"> con asistente. Llegada al hotel y resto del día libre para sus actividades personales. El check-in en el hotel de Kioto es a partir de las 15:00. En caso de desear early check-in, es necesario solicitar una noche extra pre-tour aunque no se puede garantizar disponibilidad. Alojamiento en el hotel en Kioto por 3 noches</w:t>
      </w:r>
    </w:p>
    <w:p>
      <w:pPr>
        <w:pStyle w:val="Normal"/>
        <w:spacing w:lineRule="auto" w:line="240" w:before="0" w:after="0"/>
        <w:jc w:val="both"/>
        <w:rPr/>
      </w:pPr>
      <w:r>
        <w:rPr/>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t>Día 2   Kioto</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Desayuno</w:t>
      </w:r>
      <w:r>
        <w:rPr>
          <w:rFonts w:cs="Arial" w:ascii="Arial" w:hAnsi="Arial"/>
          <w:color w:val="000000" w:themeColor="text1"/>
          <w:sz w:val="18"/>
          <w:szCs w:val="18"/>
        </w:rPr>
        <w:t xml:space="preserve"> en el hotel. Reunión en el lobby y comienza la visita de la ciudad con guía de habla española para conocer el Templo Sanjusangen-do, el Castillo de Nijo, el Templo Kinkakuji (Pabellón Dorado), el jardín del Templo Tenryuji y el Bosque de Bambú de Arashiyama. </w:t>
      </w:r>
      <w:r>
        <w:rPr>
          <w:rFonts w:cs="Arial" w:ascii="Arial" w:hAnsi="Arial"/>
          <w:b/>
          <w:i/>
          <w:color w:val="000000" w:themeColor="text1"/>
          <w:sz w:val="18"/>
          <w:szCs w:val="18"/>
          <w:u w:val="single"/>
        </w:rPr>
        <w:t>Almuerzo</w:t>
      </w:r>
      <w:r>
        <w:rPr>
          <w:rFonts w:cs="Arial" w:ascii="Arial" w:hAnsi="Arial"/>
          <w:color w:val="000000" w:themeColor="text1"/>
          <w:sz w:val="18"/>
          <w:szCs w:val="18"/>
        </w:rPr>
        <w:t xml:space="preserve"> en un restaurante.  Después de la visita, regreso al hotel. Alojamiento en el hotel en Kioto</w:t>
      </w:r>
    </w:p>
    <w:p>
      <w:pPr>
        <w:pStyle w:val="Normal"/>
        <w:spacing w:lineRule="auto" w:line="240" w:before="0" w:after="0"/>
        <w:jc w:val="both"/>
        <w:rPr>
          <w:color w:val="000000" w:themeColor="text1"/>
        </w:rPr>
      </w:pPr>
      <w:r>
        <w:rPr>
          <w:color w:val="000000" w:themeColor="text1"/>
        </w:rPr>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t>Día 3   Kioto</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Desayuno</w:t>
      </w:r>
      <w:r>
        <w:rPr>
          <w:rFonts w:cs="Arial" w:ascii="Arial" w:hAnsi="Arial"/>
          <w:color w:val="000000" w:themeColor="text1"/>
          <w:sz w:val="18"/>
          <w:szCs w:val="18"/>
        </w:rPr>
        <w:t xml:space="preserve"> en el hotel. Día libre para sus actividades personales.</w:t>
      </w:r>
    </w:p>
    <w:p>
      <w:pPr>
        <w:pStyle w:val="Normal"/>
        <w:spacing w:before="0" w:after="0"/>
        <w:jc w:val="both"/>
        <w:rPr>
          <w:rFonts w:ascii="Arial" w:hAnsi="Arial" w:cs="Arial"/>
          <w:b/>
          <w:b/>
          <w:i/>
          <w:i/>
          <w:color w:val="000000" w:themeColor="text1"/>
          <w:sz w:val="18"/>
          <w:szCs w:val="18"/>
        </w:rPr>
      </w:pPr>
      <w:r>
        <w:rPr>
          <w:rFonts w:cs="Arial" w:ascii="Arial" w:hAnsi="Arial"/>
          <w:b/>
          <w:i/>
          <w:color w:val="000000" w:themeColor="text1"/>
          <w:sz w:val="18"/>
          <w:szCs w:val="18"/>
        </w:rPr>
        <w:t>EXCURSIÓN OPCIONAL</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rPr>
        <w:t>Excursión a NARA y FUSHIMI INARI</w:t>
      </w:r>
      <w:r>
        <w:rPr>
          <w:rFonts w:cs="Arial" w:ascii="Arial" w:hAnsi="Arial"/>
          <w:color w:val="000000" w:themeColor="text1"/>
          <w:sz w:val="18"/>
          <w:szCs w:val="18"/>
        </w:rPr>
        <w:t xml:space="preserve"> Reunión en el lobby y comienza la excursión a Nara con guía de habla española para conocer el Templo Todaiji con su enorme imagen de Buda (*), el Parque de los Ciervos Sagrados. Visitaremos el Santuario Shintoísta de Fushimi Inari en el camino a KIoto. Después de la visita, regreso al hotel en Kioto. Alojamiento en el hotel en Kioto.</w:t>
      </w:r>
    </w:p>
    <w:p>
      <w:pPr>
        <w:pStyle w:val="Normal"/>
        <w:spacing w:lineRule="auto" w:line="240" w:before="0" w:after="0"/>
        <w:jc w:val="both"/>
        <w:rPr>
          <w:rFonts w:ascii="Arial" w:hAnsi="Arial" w:cs="Arial"/>
          <w:sz w:val="18"/>
          <w:szCs w:val="18"/>
        </w:rPr>
      </w:pPr>
      <w:r>
        <w:rPr>
          <w:rFonts w:cs="Arial" w:ascii="Arial" w:hAnsi="Arial"/>
          <w:sz w:val="18"/>
          <w:szCs w:val="18"/>
        </w:rPr>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t xml:space="preserve">Día 4   Kioto – Himeji – Kurashiki – Hiroshima </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 xml:space="preserve">Desayuno </w:t>
      </w:r>
      <w:r>
        <w:rPr>
          <w:rFonts w:cs="Arial" w:ascii="Arial" w:hAnsi="Arial"/>
          <w:color w:val="000000" w:themeColor="text1"/>
          <w:sz w:val="18"/>
          <w:szCs w:val="18"/>
        </w:rPr>
        <w:t>en el hotel. Reunión en el lobby y traslado a la estación de Kioto.</w:t>
      </w:r>
    </w:p>
    <w:p>
      <w:pPr>
        <w:pStyle w:val="Normal"/>
        <w:spacing w:before="0" w:after="0"/>
        <w:jc w:val="both"/>
        <w:rPr>
          <w:rFonts w:ascii="Arial" w:hAnsi="Arial" w:cs="Arial"/>
          <w:b/>
          <w:b/>
          <w:i/>
          <w:i/>
          <w:color w:val="000000" w:themeColor="text1"/>
          <w:sz w:val="18"/>
          <w:szCs w:val="18"/>
          <w:u w:val="single"/>
        </w:rPr>
      </w:pPr>
      <w:r>
        <w:rPr>
          <w:rFonts w:cs="Arial" w:ascii="Arial" w:hAnsi="Arial"/>
          <w:color w:val="000000" w:themeColor="text1"/>
          <w:sz w:val="18"/>
          <w:szCs w:val="18"/>
        </w:rPr>
        <w:t>Salida de Kioto hacia Himeji en tren bala “Hikari”. Llegada a Himeji y comienza la visita del Castillo de Himeji (*), declarado Patrimonio de la Humanidad. Después de la visita, salida hacia Kurashiki por carretera</w:t>
      </w:r>
      <w:r>
        <w:rPr>
          <w:rFonts w:cs="Arial" w:ascii="Arial" w:hAnsi="Arial"/>
          <w:b/>
          <w:i/>
          <w:color w:val="000000" w:themeColor="text1"/>
          <w:sz w:val="18"/>
          <w:szCs w:val="18"/>
          <w:u w:val="single"/>
        </w:rPr>
        <w:t>.</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Almuerzo</w:t>
      </w:r>
      <w:r>
        <w:rPr>
          <w:rFonts w:cs="Arial" w:ascii="Arial" w:hAnsi="Arial"/>
          <w:color w:val="000000" w:themeColor="text1"/>
          <w:sz w:val="18"/>
          <w:szCs w:val="18"/>
        </w:rPr>
        <w:t xml:space="preserve"> en un restaurante.</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Por la tarde, comienza la visita de la ciudad para conocer la antigua residencia de la Familia Ohashi y el Barrio histórico de “Bikan”. Después de la visita, salida hacia Hiroshima por carretera. Llegada a Hiroshima y traslado al hotel. Alojamiento.</w:t>
      </w:r>
      <w:r>
        <w:rPr>
          <w:color w:val="000000" w:themeColor="text1"/>
        </w:rPr>
        <w:t xml:space="preserve"> </w:t>
      </w:r>
      <w:r>
        <w:rPr>
          <w:rFonts w:cs="Arial" w:ascii="Arial" w:hAnsi="Arial"/>
          <w:color w:val="000000" w:themeColor="text1"/>
          <w:sz w:val="18"/>
          <w:szCs w:val="18"/>
        </w:rPr>
        <w:t>en el hotel en Hiroshima por 2 noches.</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Alojamiento en el hotel en Hiroshima.</w:t>
      </w:r>
    </w:p>
    <w:p>
      <w:pPr>
        <w:pStyle w:val="Normal"/>
        <w:spacing w:before="0" w:after="0"/>
        <w:jc w:val="both"/>
        <w:rPr>
          <w:rFonts w:ascii="Arial" w:hAnsi="Arial" w:cs="Arial"/>
          <w:color w:val="4F81BD" w:themeColor="accent1"/>
          <w:sz w:val="18"/>
          <w:szCs w:val="18"/>
        </w:rPr>
      </w:pPr>
      <w:r>
        <w:rPr>
          <w:rFonts w:cs="Arial" w:ascii="Arial" w:hAnsi="Arial"/>
          <w:color w:val="4F81BD" w:themeColor="accent1"/>
          <w:sz w:val="18"/>
          <w:szCs w:val="18"/>
        </w:rPr>
      </w:r>
    </w:p>
    <w:p>
      <w:pPr>
        <w:pStyle w:val="Normal"/>
        <w:spacing w:before="0" w:after="0"/>
        <w:jc w:val="both"/>
        <w:rPr>
          <w:rFonts w:ascii="Arial" w:hAnsi="Arial" w:cs="Arial"/>
          <w:b/>
          <w:b/>
          <w:i/>
          <w:i/>
          <w:color w:val="000000" w:themeColor="text1"/>
          <w:sz w:val="18"/>
          <w:szCs w:val="18"/>
        </w:rPr>
      </w:pPr>
      <w:r>
        <w:rPr>
          <w:rFonts w:cs="Arial" w:ascii="Arial" w:hAnsi="Arial"/>
          <w:b/>
          <w:i/>
          <w:color w:val="000000" w:themeColor="text1"/>
          <w:sz w:val="18"/>
          <w:szCs w:val="18"/>
        </w:rPr>
        <w:t>*Notas importantes:</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 xml:space="preserve"> </w:t>
      </w:r>
      <w:r>
        <w:rPr>
          <w:rFonts w:cs="Arial" w:ascii="Arial" w:hAnsi="Arial"/>
          <w:color w:val="000000" w:themeColor="text1"/>
          <w:sz w:val="18"/>
          <w:szCs w:val="18"/>
        </w:rPr>
        <w:t>La entrada al Castillo de Himeji no se puede reservar y se forman largas colas para subir a la torre. En los casos en que no se pueda subir, a cambio se añadirá la visita del Castillo de Osaka en el Día 8.</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Sus maletas se trasladarán al hotel en Hiroshima en servicio de courier y llegarán al día siguiente. Por favor preparen equipaje de mano para 1 noche sin sus maletas.</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r>
    </w:p>
    <w:p>
      <w:pPr>
        <w:pStyle w:val="Normal"/>
        <w:spacing w:before="0" w:after="0"/>
        <w:jc w:val="both"/>
        <w:rPr>
          <w:rFonts w:ascii="Arial" w:hAnsi="Arial" w:cs="Arial"/>
          <w:color w:val="4F81BD" w:themeColor="accent1"/>
          <w:sz w:val="18"/>
          <w:szCs w:val="18"/>
        </w:rPr>
      </w:pPr>
      <w:r>
        <w:rPr>
          <w:rFonts w:cs="Arial" w:ascii="Arial" w:hAnsi="Arial"/>
          <w:color w:val="4F81BD" w:themeColor="accent1"/>
          <w:sz w:val="18"/>
          <w:szCs w:val="18"/>
        </w:rPr>
      </w:r>
    </w:p>
    <w:p>
      <w:pPr>
        <w:pStyle w:val="Normal"/>
        <w:spacing w:before="0" w:after="0"/>
        <w:jc w:val="both"/>
        <w:rPr>
          <w:rFonts w:ascii="Arial" w:hAnsi="Arial" w:cs="Arial"/>
          <w:color w:val="4F81BD" w:themeColor="accent1"/>
          <w:sz w:val="18"/>
          <w:szCs w:val="18"/>
        </w:rPr>
      </w:pPr>
      <w:r>
        <w:rPr>
          <w:rFonts w:cs="Arial" w:ascii="Arial" w:hAnsi="Arial"/>
          <w:color w:val="4F81BD" w:themeColor="accent1"/>
          <w:sz w:val="18"/>
          <w:szCs w:val="18"/>
        </w:rPr>
      </w:r>
    </w:p>
    <w:p>
      <w:pPr>
        <w:pStyle w:val="Normal"/>
        <w:spacing w:before="0" w:after="0"/>
        <w:jc w:val="both"/>
        <w:rPr>
          <w:rFonts w:ascii="Arial" w:hAnsi="Arial" w:cs="Arial"/>
          <w:color w:val="4F81BD" w:themeColor="accent1"/>
          <w:sz w:val="18"/>
          <w:szCs w:val="18"/>
        </w:rPr>
      </w:pPr>
      <w:r>
        <w:rPr>
          <w:rFonts w:cs="Arial" w:ascii="Arial" w:hAnsi="Arial"/>
          <w:color w:val="4F81BD" w:themeColor="accent1"/>
          <w:sz w:val="18"/>
          <w:szCs w:val="18"/>
        </w:rPr>
      </w:r>
    </w:p>
    <w:p>
      <w:pPr>
        <w:pStyle w:val="Normal"/>
        <w:spacing w:lineRule="auto" w:line="240" w:before="0" w:after="0"/>
        <w:jc w:val="both"/>
        <w:rPr/>
      </w:pPr>
      <w:r>
        <w:rPr/>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t>Día 5   Hiroshima</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Desayuno</w:t>
      </w:r>
      <w:r>
        <w:rPr>
          <w:rFonts w:cs="Arial" w:ascii="Arial" w:hAnsi="Arial"/>
          <w:color w:val="000000" w:themeColor="text1"/>
          <w:sz w:val="18"/>
          <w:szCs w:val="18"/>
        </w:rPr>
        <w:t xml:space="preserve"> en el hotel. Reunión en el lobby y comienza la visita de la ciudad y la isla de Miyajima con guía de habla española para conocer el Parque Conmemorativo de la Paz y su museo (*), la Cúpula de la Bómba Atómica y el Santuario Shintoísta de Itsukushima (*)  en la Isla Miyajima famoso por la puerta “torii” en el mar.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Alojamiento en Hiroshima.</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r>
    </w:p>
    <w:p>
      <w:pPr>
        <w:pStyle w:val="Normal"/>
        <w:spacing w:before="0" w:after="0"/>
        <w:jc w:val="both"/>
        <w:rPr>
          <w:rFonts w:ascii="Arial" w:hAnsi="Arial" w:cs="Arial"/>
          <w:b/>
          <w:b/>
          <w:i/>
          <w:i/>
          <w:color w:val="000000" w:themeColor="text1"/>
          <w:sz w:val="18"/>
          <w:szCs w:val="18"/>
        </w:rPr>
      </w:pPr>
      <w:r>
        <w:rPr>
          <w:rFonts w:cs="Arial" w:ascii="Arial" w:hAnsi="Arial"/>
          <w:b/>
          <w:i/>
          <w:color w:val="000000" w:themeColor="text1"/>
          <w:sz w:val="18"/>
          <w:szCs w:val="18"/>
        </w:rPr>
        <w:t xml:space="preserve">*Nota importante: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La entrada al Museo Conmemorativo de la Paz no se puede reservar y dependiendo de la temporada se pueden formar largas colas para entrar.</w:t>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t xml:space="preserve">Día 6   Hiroshima – Koyasan  </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Desayuno</w:t>
      </w:r>
      <w:r>
        <w:rPr>
          <w:rFonts w:cs="Arial" w:ascii="Arial" w:hAnsi="Arial"/>
          <w:color w:val="000000" w:themeColor="text1"/>
          <w:sz w:val="18"/>
          <w:szCs w:val="18"/>
        </w:rPr>
        <w:t xml:space="preserve"> en el hotel. Reunión en el lobby y traslado a la estación de Hiroshima. Salida de Hiroshima hacia Shin-Osaka en tren bala “Nozomi”. Llegada a Shin-Osaka y salida hacia Koyasan por carretera. </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Almuerzo</w:t>
      </w:r>
      <w:r>
        <w:rPr>
          <w:rFonts w:cs="Arial" w:ascii="Arial" w:hAnsi="Arial"/>
          <w:color w:val="000000" w:themeColor="text1"/>
          <w:sz w:val="18"/>
          <w:szCs w:val="18"/>
        </w:rPr>
        <w:t xml:space="preserve"> en un restaurante.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 xml:space="preserve">Llegada a Koyasan y comienza la visita de la montaña sagrada con guía de habla española para conocer el Templo Kongobuji (*), Danjo Garan y el Mausoleo Okunoin.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 xml:space="preserve">Después de la visita, traslado al shukubo (monasterio), cena vegetariana en el shukubo.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Alojamiento en el Shukubo</w:t>
      </w:r>
    </w:p>
    <w:p>
      <w:pPr>
        <w:pStyle w:val="Normal"/>
        <w:spacing w:before="0" w:after="0"/>
        <w:jc w:val="both"/>
        <w:rPr>
          <w:rFonts w:ascii="Arial" w:hAnsi="Arial" w:cs="Arial"/>
          <w:b/>
          <w:b/>
          <w:i/>
          <w:i/>
          <w:color w:val="000000" w:themeColor="text1"/>
          <w:sz w:val="18"/>
          <w:szCs w:val="18"/>
        </w:rPr>
      </w:pPr>
      <w:r>
        <w:rPr>
          <w:rFonts w:cs="Arial" w:ascii="Arial" w:hAnsi="Arial"/>
          <w:b/>
          <w:i/>
          <w:color w:val="000000" w:themeColor="text1"/>
          <w:sz w:val="18"/>
          <w:szCs w:val="18"/>
        </w:rPr>
      </w:r>
    </w:p>
    <w:p>
      <w:pPr>
        <w:pStyle w:val="Normal"/>
        <w:spacing w:before="0" w:after="0"/>
        <w:jc w:val="both"/>
        <w:rPr>
          <w:rFonts w:ascii="Arial" w:hAnsi="Arial" w:cs="Arial"/>
          <w:b/>
          <w:b/>
          <w:i/>
          <w:i/>
          <w:color w:val="000000" w:themeColor="text1"/>
          <w:sz w:val="18"/>
          <w:szCs w:val="18"/>
        </w:rPr>
      </w:pPr>
      <w:r>
        <w:rPr>
          <w:rFonts w:cs="Arial" w:ascii="Arial" w:hAnsi="Arial"/>
          <w:b/>
          <w:i/>
          <w:color w:val="000000" w:themeColor="text1"/>
          <w:sz w:val="18"/>
          <w:szCs w:val="18"/>
        </w:rPr>
        <w:t xml:space="preserve">*Nota importante: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 Sus maletas se trasladarán directamente al hotel en Osaka. Por favor preparen equipaje de mano para 2 noches en Koyasan y Kawayu Onsen. ***</w:t>
      </w:r>
    </w:p>
    <w:p>
      <w:pPr>
        <w:pStyle w:val="Normal"/>
        <w:spacing w:lineRule="auto" w:line="240" w:before="0" w:after="0"/>
        <w:jc w:val="both"/>
        <w:rPr>
          <w:rFonts w:ascii="Arial" w:hAnsi="Arial" w:cs="Arial"/>
          <w:sz w:val="18"/>
          <w:szCs w:val="18"/>
        </w:rPr>
      </w:pPr>
      <w:r>
        <w:rPr>
          <w:rFonts w:cs="Arial" w:ascii="Arial" w:hAnsi="Arial"/>
          <w:sz w:val="18"/>
          <w:szCs w:val="18"/>
        </w:rPr>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t xml:space="preserve">Día 7   Koyasan – Kumano Kodo – Kawayu Onsen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 xml:space="preserve">A primera hora de la mañana, pueden participar en los servicios religiosos del templo. </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Desayuno</w:t>
      </w:r>
      <w:r>
        <w:rPr>
          <w:rFonts w:cs="Arial" w:ascii="Arial" w:hAnsi="Arial"/>
          <w:color w:val="000000" w:themeColor="text1"/>
          <w:sz w:val="18"/>
          <w:szCs w:val="18"/>
        </w:rPr>
        <w:t xml:space="preserve"> típico japonés vegetariano en el shukubo. Reunión en el lobby y salida hacia el lugar sagrado de </w:t>
      </w:r>
      <w:r>
        <w:rPr>
          <w:rFonts w:cs="Arial" w:ascii="Arial" w:hAnsi="Arial"/>
          <w:b/>
          <w:bCs/>
          <w:color w:val="000000" w:themeColor="text1"/>
          <w:sz w:val="18"/>
          <w:szCs w:val="18"/>
        </w:rPr>
        <w:t>Kumano por carretera</w:t>
      </w:r>
      <w:r>
        <w:rPr>
          <w:rFonts w:cs="Arial" w:ascii="Arial" w:hAnsi="Arial"/>
          <w:color w:val="000000" w:themeColor="text1"/>
          <w:sz w:val="18"/>
          <w:szCs w:val="18"/>
        </w:rPr>
        <w:t xml:space="preserve"> con guía de habla española. Llegada a Kumano y </w:t>
      </w:r>
      <w:r>
        <w:rPr>
          <w:rFonts w:cs="Arial" w:ascii="Arial" w:hAnsi="Arial"/>
          <w:b/>
          <w:i/>
          <w:color w:val="000000" w:themeColor="text1"/>
          <w:sz w:val="18"/>
          <w:szCs w:val="18"/>
          <w:u w:val="single"/>
        </w:rPr>
        <w:t>almuerzo</w:t>
      </w:r>
      <w:r>
        <w:rPr>
          <w:rFonts w:cs="Arial" w:ascii="Arial" w:hAnsi="Arial"/>
          <w:color w:val="000000" w:themeColor="text1"/>
          <w:sz w:val="18"/>
          <w:szCs w:val="18"/>
        </w:rPr>
        <w:t xml:space="preserve"> en un restaurante.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 xml:space="preserve">Por la tarde, </w:t>
      </w:r>
      <w:r>
        <w:rPr>
          <w:rFonts w:cs="Arial" w:ascii="Arial" w:hAnsi="Arial"/>
          <w:b/>
          <w:color w:val="000000" w:themeColor="text1"/>
          <w:sz w:val="18"/>
          <w:szCs w:val="18"/>
        </w:rPr>
        <w:t xml:space="preserve">recorreremos la antigua ruta de peregrinación Kumano Kodo por 60minutos (3 km). </w:t>
      </w:r>
      <w:r>
        <w:rPr>
          <w:rFonts w:cs="Arial" w:ascii="Arial" w:hAnsi="Arial"/>
          <w:color w:val="000000" w:themeColor="text1"/>
          <w:sz w:val="18"/>
          <w:szCs w:val="18"/>
        </w:rPr>
        <w:t>Por último, visitaremos el Santuario Kumano Hongu Taisha que es el recinto principal de la ruta de peregrinación y el Oyunohara (el recinto antiguo del Kumano Hongu Taisha).</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 xml:space="preserve">Después de la visita, traslado al Ryokan </w:t>
      </w:r>
    </w:p>
    <w:p>
      <w:pPr>
        <w:pStyle w:val="Normal"/>
        <w:spacing w:before="0" w:after="0"/>
        <w:jc w:val="both"/>
        <w:rPr>
          <w:rFonts w:ascii="Arial" w:hAnsi="Arial" w:cs="Arial"/>
          <w:color w:val="000000" w:themeColor="text1"/>
          <w:sz w:val="18"/>
          <w:szCs w:val="18"/>
          <w:lang w:val="es-MX"/>
        </w:rPr>
      </w:pPr>
      <w:r>
        <w:rPr>
          <w:rFonts w:cs="Arial" w:ascii="Arial" w:hAnsi="Arial"/>
          <w:b/>
          <w:i/>
          <w:color w:val="000000" w:themeColor="text1"/>
          <w:sz w:val="18"/>
          <w:szCs w:val="18"/>
          <w:u w:val="single"/>
        </w:rPr>
        <w:t>Cena</w:t>
      </w:r>
      <w:r>
        <w:rPr>
          <w:rFonts w:cs="Arial" w:ascii="Arial" w:hAnsi="Arial"/>
          <w:color w:val="000000" w:themeColor="text1"/>
          <w:sz w:val="18"/>
          <w:szCs w:val="18"/>
        </w:rPr>
        <w:t xml:space="preserve"> en el Ryokan. </w:t>
      </w:r>
      <w:r>
        <w:rPr>
          <w:rFonts w:cs="Arial" w:ascii="Arial" w:hAnsi="Arial"/>
          <w:color w:val="000000" w:themeColor="text1"/>
          <w:sz w:val="18"/>
          <w:szCs w:val="18"/>
          <w:lang w:val="es-MX"/>
        </w:rPr>
        <w:t>Alojamiento en el ryokan en Kawayu Onsen por 1 noche.</w:t>
      </w:r>
    </w:p>
    <w:p>
      <w:pPr>
        <w:pStyle w:val="Normal"/>
        <w:spacing w:lineRule="auto" w:line="240" w:before="0" w:after="0"/>
        <w:jc w:val="both"/>
        <w:rPr>
          <w:rFonts w:ascii="Arial" w:hAnsi="Arial" w:cs="Arial"/>
          <w:sz w:val="18"/>
          <w:szCs w:val="18"/>
        </w:rPr>
      </w:pPr>
      <w:r>
        <w:rPr>
          <w:rFonts w:cs="Arial" w:ascii="Arial" w:hAnsi="Arial"/>
          <w:sz w:val="18"/>
          <w:szCs w:val="18"/>
        </w:rPr>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t xml:space="preserve">Día 8   Kawayu Onsen – Osaka </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Desayuno</w:t>
      </w:r>
      <w:r>
        <w:rPr>
          <w:rFonts w:cs="Arial" w:ascii="Arial" w:hAnsi="Arial"/>
          <w:color w:val="000000" w:themeColor="text1"/>
          <w:sz w:val="18"/>
          <w:szCs w:val="18"/>
        </w:rPr>
        <w:t xml:space="preserve"> en el Ryokan. Reunión en el lobby. Salida de Kawayu Onsen hacia Osaka en autocar. Llegada y comienza la visita de para conocer el Observatorio “Jardín Flotante” en el edificio Umeda Sky (*) y el Barrio Dotombori. Después de la visita traslado al hotel.</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Alojamiento en Osaka</w:t>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t>Día 9   Osaka - Kanazawa</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Desayuno</w:t>
      </w:r>
      <w:r>
        <w:rPr>
          <w:rFonts w:cs="Arial" w:ascii="Arial" w:hAnsi="Arial"/>
          <w:color w:val="000000" w:themeColor="text1"/>
          <w:sz w:val="18"/>
          <w:szCs w:val="18"/>
        </w:rPr>
        <w:t xml:space="preserve"> en el hotel. Reunión en el lobby y traslado a la estación de Osaka. Salida de Osaka hacia Kanazawa en tren expreso-limitado de JR “Thunderbird”. Llegada a Kanazawa y comienza la visita de la ciudad con guía de habla española para conocer el Jardín Kenroku-en(*), el Mercado de Oumicho, el Barrio Higashi Chayagai y el Barrio Nagamachi donde visitaremos la antigua residencia de la familia de samurais Nomura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Después de la visita, alojamiento en Kanazawa.</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r>
    </w:p>
    <w:p>
      <w:pPr>
        <w:pStyle w:val="Normal"/>
        <w:spacing w:before="0" w:after="0"/>
        <w:jc w:val="both"/>
        <w:rPr>
          <w:rFonts w:ascii="Arial" w:hAnsi="Arial" w:cs="Arial"/>
          <w:b/>
          <w:b/>
          <w:i/>
          <w:i/>
          <w:color w:val="000000" w:themeColor="text1"/>
          <w:sz w:val="18"/>
          <w:szCs w:val="18"/>
        </w:rPr>
      </w:pPr>
      <w:r>
        <w:rPr>
          <w:rFonts w:cs="Arial" w:ascii="Arial" w:hAnsi="Arial"/>
          <w:b/>
          <w:i/>
          <w:color w:val="000000" w:themeColor="text1"/>
          <w:sz w:val="18"/>
          <w:szCs w:val="18"/>
        </w:rPr>
        <w:t xml:space="preserve">*Nota importante: </w:t>
      </w:r>
    </w:p>
    <w:p>
      <w:pPr>
        <w:pStyle w:val="Normal"/>
        <w:spacing w:before="0" w:after="0"/>
        <w:jc w:val="both"/>
        <w:rPr>
          <w:rFonts w:ascii="Arial" w:hAnsi="Arial" w:cs="Arial"/>
          <w:b/>
          <w:b/>
          <w:i/>
          <w:i/>
          <w:color w:val="000000" w:themeColor="text1"/>
          <w:sz w:val="18"/>
          <w:szCs w:val="18"/>
        </w:rPr>
      </w:pPr>
      <w:r>
        <w:rPr>
          <w:rFonts w:cs="Arial" w:ascii="Arial" w:hAnsi="Arial"/>
          <w:color w:val="000000" w:themeColor="text1"/>
          <w:sz w:val="18"/>
          <w:szCs w:val="18"/>
        </w:rPr>
        <w:t>***Sus maletas se trasladarán directamente al hotel en Tokio. Por favor preparen equipaje de mano para 2 noches en Kanazawa y Takayama. ***</w:t>
      </w:r>
    </w:p>
    <w:p>
      <w:pPr>
        <w:pStyle w:val="Normal"/>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t xml:space="preserve">Día 10   Kanazawa – Shirakawago – Takayama  </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Desayuno</w:t>
      </w:r>
      <w:r>
        <w:rPr>
          <w:rFonts w:cs="Arial" w:ascii="Arial" w:hAnsi="Arial"/>
          <w:color w:val="000000" w:themeColor="text1"/>
          <w:sz w:val="18"/>
          <w:szCs w:val="18"/>
        </w:rPr>
        <w:t xml:space="preserve"> en el hotel. Reunión en el lobby y comienza la excursión a Shirakawago con guía de habla española. Llegada a Shirakawago y comienza la visita del pueblo declarado Patrimonio de la Humanidad para conocer una de las casas tradicionales de “Gassho-zukuri”(*). Salida de Shirakawago hacia Takayama por carretera. </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Almuerzo</w:t>
      </w:r>
      <w:r>
        <w:rPr>
          <w:rFonts w:cs="Arial" w:ascii="Arial" w:hAnsi="Arial"/>
          <w:color w:val="000000" w:themeColor="text1"/>
          <w:sz w:val="18"/>
          <w:szCs w:val="18"/>
        </w:rPr>
        <w:t xml:space="preserve"> en un restaurante.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 xml:space="preserve">Por la tarde, comienza la visita de la ciudad para conocer el Yatai Kaikan (Sala de Exposición de las Carrozas Festivas) (*) y la calle Kami-sannomachi. Después de la visita, traslado al hotel. </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Cena</w:t>
      </w:r>
      <w:r>
        <w:rPr>
          <w:rFonts w:cs="Arial" w:ascii="Arial" w:hAnsi="Arial"/>
          <w:color w:val="000000" w:themeColor="text1"/>
          <w:sz w:val="18"/>
          <w:szCs w:val="18"/>
        </w:rPr>
        <w:t xml:space="preserve"> en el hotel.</w:t>
      </w:r>
    </w:p>
    <w:p>
      <w:pPr>
        <w:pStyle w:val="Normal"/>
        <w:spacing w:before="0" w:after="0"/>
        <w:jc w:val="both"/>
        <w:rPr>
          <w:rFonts w:ascii="Arial" w:hAnsi="Arial" w:eastAsia="Arial" w:cs="Arial"/>
          <w:color w:val="000000" w:themeColor="text1"/>
          <w:sz w:val="18"/>
          <w:szCs w:val="18"/>
        </w:rPr>
      </w:pPr>
      <w:r>
        <w:rPr>
          <w:rFonts w:cs="Arial" w:ascii="Arial" w:hAnsi="Arial"/>
          <w:color w:val="000000" w:themeColor="text1"/>
          <w:sz w:val="18"/>
          <w:szCs w:val="18"/>
        </w:rPr>
        <w:t xml:space="preserve">Alojamiento en Takayama </w:t>
      </w:r>
    </w:p>
    <w:p>
      <w:pPr>
        <w:pStyle w:val="Normal"/>
        <w:spacing w:lineRule="auto" w:line="240" w:before="0" w:after="0"/>
        <w:jc w:val="both"/>
        <w:rPr>
          <w:rFonts w:ascii="Arial" w:hAnsi="Arial" w:eastAsia="Arial" w:cs="Arial"/>
          <w:b/>
          <w:b/>
          <w:color w:val="000000" w:themeColor="text1"/>
          <w:sz w:val="18"/>
          <w:szCs w:val="18"/>
        </w:rPr>
      </w:pPr>
      <w:r>
        <w:rPr>
          <w:rFonts w:eastAsia="Arial" w:cs="Arial" w:ascii="Arial" w:hAnsi="Arial"/>
          <w:b/>
          <w:color w:val="000000" w:themeColor="text1"/>
          <w:sz w:val="18"/>
          <w:szCs w:val="18"/>
        </w:rPr>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t xml:space="preserve">Día 11   Takayama – Nagoya – Hakone – Tokio </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Desayuno</w:t>
      </w:r>
      <w:r>
        <w:rPr>
          <w:rFonts w:cs="Arial" w:ascii="Arial" w:hAnsi="Arial"/>
          <w:color w:val="000000" w:themeColor="text1"/>
          <w:sz w:val="18"/>
          <w:szCs w:val="18"/>
        </w:rPr>
        <w:t xml:space="preserve"> en el hotel. Reunión en el lobby. Salida hacia Nagoya en autocar por carretera. </w:t>
      </w:r>
    </w:p>
    <w:p>
      <w:pPr>
        <w:pStyle w:val="Normal"/>
        <w:spacing w:before="0" w:after="0"/>
        <w:jc w:val="both"/>
        <w:rPr>
          <w:rFonts w:ascii="Arial" w:hAnsi="Arial" w:cs="Arial"/>
          <w:bCs/>
          <w:iCs/>
          <w:color w:val="000000" w:themeColor="text1"/>
          <w:sz w:val="18"/>
          <w:szCs w:val="18"/>
        </w:rPr>
      </w:pPr>
      <w:r>
        <w:rPr>
          <w:rFonts w:cs="Arial" w:ascii="Arial" w:hAnsi="Arial"/>
          <w:color w:val="000000" w:themeColor="text1"/>
          <w:sz w:val="18"/>
          <w:szCs w:val="18"/>
        </w:rPr>
        <w:t xml:space="preserve">Llegada a Nagoya para partir hacia Odawara en tren bala de JR “Hikari” </w:t>
      </w:r>
      <w:r>
        <w:rPr>
          <w:rFonts w:cs="Arial" w:ascii="Arial" w:hAnsi="Arial"/>
          <w:b/>
          <w:i/>
          <w:color w:val="000000" w:themeColor="text1"/>
          <w:sz w:val="18"/>
          <w:szCs w:val="18"/>
          <w:u w:val="single"/>
        </w:rPr>
        <w:t xml:space="preserve">Box Lunch </w:t>
      </w:r>
      <w:r>
        <w:rPr>
          <w:rFonts w:cs="Arial" w:ascii="Arial" w:hAnsi="Arial"/>
          <w:bCs/>
          <w:iCs/>
          <w:color w:val="000000" w:themeColor="text1"/>
          <w:sz w:val="18"/>
          <w:szCs w:val="18"/>
        </w:rPr>
        <w:t xml:space="preserve">para almorzar enn tren bala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 xml:space="preserve">Llegada a Odawara y traslado a Hakone. Por la tarde, comienza la visita del Parque Nacional de Fuji-Hakone para conocer el Lago Ashi en un minicrucero (*)y el teleférico (*)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 xml:space="preserve">Después de la visita, salida hacia Tokio por carretera. Llegada a Tokio y traslado al hotel.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 xml:space="preserve">Alojamiento en Tokio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r>
    </w:p>
    <w:p>
      <w:pPr>
        <w:pStyle w:val="Normal"/>
        <w:spacing w:before="0" w:after="0"/>
        <w:jc w:val="both"/>
        <w:rPr>
          <w:rFonts w:ascii="Arial" w:hAnsi="Arial" w:cs="Arial"/>
          <w:b/>
          <w:b/>
          <w:i/>
          <w:i/>
          <w:color w:val="000000" w:themeColor="text1"/>
          <w:sz w:val="18"/>
          <w:szCs w:val="18"/>
        </w:rPr>
      </w:pPr>
      <w:r>
        <w:rPr>
          <w:rFonts w:cs="Arial" w:ascii="Arial" w:hAnsi="Arial"/>
          <w:b/>
          <w:i/>
          <w:color w:val="000000" w:themeColor="text1"/>
          <w:sz w:val="18"/>
          <w:szCs w:val="18"/>
        </w:rPr>
        <w:t>*Nota importante:</w:t>
      </w:r>
    </w:p>
    <w:p>
      <w:pPr>
        <w:pStyle w:val="Normal"/>
        <w:spacing w:before="0" w:after="0"/>
        <w:jc w:val="both"/>
        <w:rPr>
          <w:rFonts w:ascii="Arial" w:hAnsi="Arial" w:cs="Arial"/>
          <w:i/>
          <w:i/>
          <w:color w:val="000000" w:themeColor="text1"/>
          <w:sz w:val="18"/>
          <w:szCs w:val="18"/>
        </w:rPr>
      </w:pPr>
      <w:r>
        <w:rPr>
          <w:rFonts w:cs="Arial" w:ascii="Arial" w:hAnsi="Arial"/>
          <w:i/>
          <w:color w:val="000000" w:themeColor="text1"/>
          <w:sz w:val="18"/>
          <w:szCs w:val="18"/>
        </w:rPr>
        <w:t xml:space="preserve"> </w:t>
      </w:r>
      <w:r>
        <w:rPr>
          <w:rFonts w:cs="Arial" w:ascii="Arial" w:hAnsi="Arial"/>
          <w:i/>
          <w:color w:val="000000" w:themeColor="text1"/>
          <w:sz w:val="18"/>
          <w:szCs w:val="18"/>
        </w:rPr>
        <w:t>Dependiendo de las condiciones climatológicas, el mini-crucero y la subida al teleférico pueden ser sustituidos por otras visitas como museos y/o templos. Respecto a la vista panorámica del Monte Fuji también dependerá de la meteorología. Es muy difícil ver el Monte Fuji en cualquier época del año y sobre todo en verano porque suele estar nebuloso.</w:t>
      </w:r>
    </w:p>
    <w:p>
      <w:pPr>
        <w:pStyle w:val="Normal"/>
        <w:spacing w:before="0" w:after="0"/>
        <w:jc w:val="both"/>
        <w:rPr>
          <w:rFonts w:ascii="Arial" w:hAnsi="Arial" w:eastAsia="Arial" w:cs="Arial"/>
          <w:color w:val="000000" w:themeColor="text1"/>
          <w:sz w:val="18"/>
          <w:szCs w:val="18"/>
        </w:rPr>
      </w:pPr>
      <w:r>
        <w:rPr>
          <w:rFonts w:eastAsia="Arial" w:cs="Arial" w:ascii="Arial" w:hAnsi="Arial"/>
          <w:color w:val="000000" w:themeColor="text1"/>
          <w:sz w:val="18"/>
          <w:szCs w:val="18"/>
        </w:rPr>
        <w:t xml:space="preserve">                       </w:t>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t xml:space="preserve">Día 12   Tokio </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Desayuno</w:t>
      </w:r>
      <w:r>
        <w:rPr>
          <w:rFonts w:cs="Arial" w:ascii="Arial" w:hAnsi="Arial"/>
          <w:color w:val="000000" w:themeColor="text1"/>
          <w:sz w:val="18"/>
          <w:szCs w:val="18"/>
        </w:rPr>
        <w:t xml:space="preserve"> en el hotel. Reunión en el lobby y comienza la visita de Tokio con guía de habla española para conocer la Torre de Tokio(*) , el Templo Asakusa Kannon con su arcada comercial de Nakamise y hacen la visita panorámica de la ciudad de Tokio en autobús. </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Almuerzo</w:t>
      </w:r>
      <w:r>
        <w:rPr>
          <w:rFonts w:cs="Arial" w:ascii="Arial" w:hAnsi="Arial"/>
          <w:color w:val="000000" w:themeColor="text1"/>
          <w:sz w:val="18"/>
          <w:szCs w:val="18"/>
        </w:rPr>
        <w:t xml:space="preserve"> en un restaurante.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El tour termina en el restaurante y el regreso al hotel será por su cuenta.</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 xml:space="preserve">Alojamiento en Tokio </w:t>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t xml:space="preserve">Día 13   Tokio </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Desayuno</w:t>
      </w:r>
      <w:r>
        <w:rPr>
          <w:rFonts w:cs="Arial" w:ascii="Arial" w:hAnsi="Arial"/>
          <w:color w:val="000000" w:themeColor="text1"/>
          <w:sz w:val="18"/>
          <w:szCs w:val="18"/>
        </w:rPr>
        <w:t xml:space="preserve"> en el hotel. Día libre para sus actividades personales.</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rPr>
        <w:t>EXCURSIÓN OPCIONAL A NIKKO</w:t>
      </w:r>
      <w:r>
        <w:rPr>
          <w:rFonts w:cs="Arial" w:ascii="Arial" w:hAnsi="Arial"/>
          <w:color w:val="000000" w:themeColor="text1"/>
          <w:sz w:val="18"/>
          <w:szCs w:val="18"/>
        </w:rPr>
        <w:t xml:space="preserve"> Reunión en el lobby y comienza la excursión a Nikko con guía de habla española. Llegada a Nikko y comienza la visita para conocer el Santuario Shintoísta de Toshogu(*), el Lago Chuzenji y la Cascada Kegon subiendo la Carretera zigzag “I-Ro-Ha”. </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Almuerzo en un restaurante incluido.</w:t>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Después de la visita, regreso al hotel en Tokio.</w:t>
      </w:r>
    </w:p>
    <w:p>
      <w:pPr>
        <w:pStyle w:val="Normal"/>
        <w:spacing w:lineRule="auto" w:line="240" w:before="0" w:after="0"/>
        <w:jc w:val="both"/>
        <w:rPr>
          <w:rFonts w:ascii="Arial" w:hAnsi="Arial" w:cs="Arial"/>
          <w:color w:val="000000" w:themeColor="text1"/>
          <w:sz w:val="18"/>
          <w:szCs w:val="18"/>
        </w:rPr>
      </w:pPr>
      <w:r>
        <w:rPr>
          <w:rFonts w:cs="Arial" w:ascii="Arial" w:hAnsi="Arial"/>
          <w:color w:val="000000" w:themeColor="text1"/>
          <w:sz w:val="18"/>
          <w:szCs w:val="18"/>
        </w:rPr>
      </w:r>
    </w:p>
    <w:p>
      <w:pPr>
        <w:pStyle w:val="Normal"/>
        <w:spacing w:before="0" w:after="0"/>
        <w:jc w:val="both"/>
        <w:rPr>
          <w:rFonts w:ascii="Arial" w:hAnsi="Arial" w:cs="Arial"/>
          <w:b/>
          <w:b/>
          <w:i/>
          <w:i/>
          <w:color w:val="000000" w:themeColor="text1"/>
          <w:sz w:val="18"/>
          <w:szCs w:val="18"/>
        </w:rPr>
      </w:pPr>
      <w:r>
        <w:rPr>
          <w:rFonts w:cs="Arial" w:ascii="Arial" w:hAnsi="Arial"/>
          <w:b/>
          <w:i/>
          <w:color w:val="000000" w:themeColor="text1"/>
          <w:sz w:val="18"/>
          <w:szCs w:val="18"/>
        </w:rPr>
        <w:t>*Notas importantes:</w:t>
      </w:r>
    </w:p>
    <w:p>
      <w:pPr>
        <w:pStyle w:val="Normal"/>
        <w:suppressAutoHyphens w:val="false"/>
        <w:spacing w:before="0" w:after="0"/>
        <w:jc w:val="both"/>
        <w:rPr>
          <w:rFonts w:ascii="Arial" w:hAnsi="Arial" w:cs="Arial"/>
          <w:i/>
          <w:i/>
          <w:iCs/>
          <w:color w:val="000000" w:themeColor="text1"/>
          <w:sz w:val="18"/>
          <w:szCs w:val="18"/>
          <w:lang w:val="es-MX"/>
        </w:rPr>
      </w:pPr>
      <w:r>
        <w:rPr>
          <w:rFonts w:cs="Arial" w:ascii="Arial" w:hAnsi="Arial"/>
          <w:i/>
          <w:iCs/>
          <w:color w:val="000000" w:themeColor="text1"/>
          <w:sz w:val="18"/>
          <w:szCs w:val="18"/>
          <w:lang w:val="es-MX"/>
        </w:rPr>
        <w:t>El medio de transporte para esta excursión depende del número de participantes. Utilizaremos autocar/mini-bus privado, tren, autobús local, taxi</w:t>
      </w:r>
    </w:p>
    <w:p>
      <w:pPr>
        <w:pStyle w:val="Normal"/>
        <w:suppressAutoHyphens w:val="false"/>
        <w:spacing w:before="0" w:after="0"/>
        <w:jc w:val="both"/>
        <w:rPr>
          <w:rFonts w:ascii="Arial" w:hAnsi="Arial" w:cs="Arial"/>
          <w:i/>
          <w:i/>
          <w:iCs/>
          <w:color w:val="000000" w:themeColor="text1"/>
          <w:sz w:val="18"/>
          <w:szCs w:val="18"/>
          <w:lang w:val="es-MX"/>
        </w:rPr>
      </w:pPr>
      <w:r>
        <w:rPr>
          <w:rFonts w:cs="Arial" w:ascii="Arial" w:hAnsi="Arial"/>
          <w:i/>
          <w:iCs/>
          <w:color w:val="000000" w:themeColor="text1"/>
          <w:sz w:val="18"/>
          <w:szCs w:val="18"/>
          <w:lang w:val="es-MX"/>
        </w:rPr>
        <w:t>En temporada alta, las visitas pueden ser sustituidas según la condición del tráfico.</w:t>
      </w:r>
    </w:p>
    <w:p>
      <w:pPr>
        <w:pStyle w:val="Normal"/>
        <w:suppressAutoHyphens w:val="false"/>
        <w:spacing w:before="0" w:after="0"/>
        <w:jc w:val="both"/>
        <w:rPr>
          <w:rFonts w:ascii="Arial" w:hAnsi="Arial" w:cs="Arial"/>
          <w:i/>
          <w:i/>
          <w:iCs/>
          <w:color w:val="000000" w:themeColor="text1"/>
          <w:sz w:val="18"/>
          <w:szCs w:val="18"/>
          <w:lang w:val="es-MX"/>
        </w:rPr>
      </w:pPr>
      <w:r>
        <w:rPr>
          <w:rFonts w:cs="Arial" w:ascii="Arial" w:hAnsi="Arial"/>
          <w:i/>
          <w:iCs/>
          <w:color w:val="000000" w:themeColor="text1"/>
          <w:sz w:val="18"/>
          <w:szCs w:val="18"/>
          <w:lang w:val="es-MX"/>
        </w:rPr>
        <w:t>En la temporada alta de la semana de Oro utilizaremos tren + taxi o autobús privado. No es posible conseguir billetes de tren a Nikko para estas fechas sin tiempo de antelación suficiente.</w:t>
      </w:r>
    </w:p>
    <w:p>
      <w:pPr>
        <w:pStyle w:val="Normal"/>
        <w:suppressAutoHyphens w:val="false"/>
        <w:spacing w:before="0" w:after="0"/>
        <w:jc w:val="both"/>
        <w:rPr>
          <w:rFonts w:ascii="Arial" w:hAnsi="Arial" w:cs="Arial"/>
          <w:i/>
          <w:i/>
          <w:iCs/>
          <w:color w:val="000000" w:themeColor="text1"/>
          <w:sz w:val="18"/>
          <w:szCs w:val="18"/>
          <w:lang w:val="es-MX"/>
        </w:rPr>
      </w:pPr>
      <w:r>
        <w:rPr>
          <w:rFonts w:cs="Arial" w:ascii="Arial" w:hAnsi="Arial"/>
          <w:i/>
          <w:iCs/>
          <w:color w:val="000000" w:themeColor="text1"/>
          <w:sz w:val="18"/>
          <w:szCs w:val="18"/>
          <w:lang w:val="es-MX"/>
        </w:rPr>
      </w:r>
    </w:p>
    <w:p>
      <w:pPr>
        <w:pStyle w:val="Normal"/>
        <w:spacing w:before="0" w:after="0"/>
        <w:jc w:val="both"/>
        <w:rPr>
          <w:rFonts w:ascii="Arial" w:hAnsi="Arial" w:eastAsia="Arial" w:cs="Arial"/>
          <w:b/>
          <w:b/>
          <w:color w:val="000000" w:themeColor="text1"/>
          <w:sz w:val="18"/>
          <w:szCs w:val="18"/>
        </w:rPr>
      </w:pPr>
      <w:r>
        <w:rPr>
          <w:rFonts w:eastAsia="ArialMT" w:cs="Arial" w:ascii="Arial" w:hAnsi="Arial"/>
          <w:color w:val="000000" w:themeColor="text1"/>
          <w:sz w:val="18"/>
          <w:szCs w:val="18"/>
          <w:lang w:val="es-MX"/>
        </w:rPr>
        <w:t>Alojamiento en el hotel en Tokio.</w:t>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t xml:space="preserve">Día 14   Tokio – Narita / Haneda </w:t>
      </w:r>
    </w:p>
    <w:p>
      <w:pPr>
        <w:pStyle w:val="Normal"/>
        <w:spacing w:before="0" w:after="0"/>
        <w:jc w:val="both"/>
        <w:rPr>
          <w:rFonts w:ascii="Arial" w:hAnsi="Arial" w:cs="Arial"/>
          <w:color w:val="000000" w:themeColor="text1"/>
          <w:sz w:val="18"/>
          <w:szCs w:val="18"/>
        </w:rPr>
      </w:pPr>
      <w:r>
        <w:rPr>
          <w:rFonts w:cs="Arial" w:ascii="Arial" w:hAnsi="Arial"/>
          <w:b/>
          <w:i/>
          <w:color w:val="000000" w:themeColor="text1"/>
          <w:sz w:val="18"/>
          <w:szCs w:val="18"/>
          <w:u w:val="single"/>
        </w:rPr>
        <w:t>Desayuno</w:t>
      </w:r>
      <w:r>
        <w:rPr>
          <w:rFonts w:cs="Arial" w:ascii="Arial" w:hAnsi="Arial"/>
          <w:color w:val="000000" w:themeColor="text1"/>
          <w:sz w:val="18"/>
          <w:szCs w:val="18"/>
        </w:rPr>
        <w:t xml:space="preserve"> en el hotel. Reunión en el lobby y traslado al Aeropuerto Internacional de Narita(o Haneda) con asistente de habla española. Salida de Narita (o Haneda).</w:t>
      </w:r>
    </w:p>
    <w:p>
      <w:pPr>
        <w:pStyle w:val="Normal"/>
        <w:spacing w:before="0" w:after="0"/>
        <w:jc w:val="both"/>
        <w:rPr>
          <w:rFonts w:ascii="Arial" w:hAnsi="Arial" w:eastAsia="Arial" w:cs="Arial"/>
          <w:b/>
          <w:b/>
          <w:color w:val="000000" w:themeColor="text1"/>
          <w:sz w:val="18"/>
          <w:szCs w:val="18"/>
        </w:rPr>
      </w:pPr>
      <w:r>
        <w:rPr>
          <w:rFonts w:eastAsia="Arial" w:cs="Arial" w:ascii="Arial" w:hAnsi="Arial"/>
          <w:b/>
          <w:color w:val="000000" w:themeColor="text1"/>
          <w:sz w:val="18"/>
          <w:szCs w:val="18"/>
        </w:rPr>
      </w:r>
    </w:p>
    <w:p>
      <w:pPr>
        <w:pStyle w:val="Normal"/>
        <w:spacing w:before="0" w:after="0"/>
        <w:jc w:val="both"/>
        <w:rPr>
          <w:rFonts w:ascii="Arial" w:hAnsi="Arial" w:cs="Arial"/>
          <w:color w:val="000000" w:themeColor="text1"/>
          <w:sz w:val="18"/>
          <w:szCs w:val="18"/>
        </w:rPr>
      </w:pPr>
      <w:r>
        <w:rPr>
          <w:rFonts w:cs="Arial" w:ascii="Arial" w:hAnsi="Arial"/>
          <w:color w:val="000000" w:themeColor="text1"/>
          <w:sz w:val="18"/>
          <w:szCs w:val="18"/>
        </w:rPr>
        <w:t>La habitación del hotel de Tokio está disponible hasta las 11h00. En caso de desear late check-out, es necesario solicitar una noche extra-post -tour aunque no se puede garantizar disponibilidad</w:t>
      </w:r>
    </w:p>
    <w:p>
      <w:pPr>
        <w:pStyle w:val="Normal"/>
        <w:spacing w:lineRule="auto" w:line="240" w:before="0" w:after="0"/>
        <w:jc w:val="both"/>
        <w:rPr>
          <w:rFonts w:ascii="Arial" w:hAnsi="Arial" w:eastAsia="Arial" w:cs="Arial"/>
          <w:b/>
          <w:b/>
          <w:color w:val="EF782D"/>
          <w:sz w:val="18"/>
          <w:szCs w:val="18"/>
        </w:rPr>
      </w:pPr>
      <w:r>
        <w:rPr>
          <w:rFonts w:eastAsia="Arial" w:cs="Arial" w:ascii="Arial" w:hAnsi="Arial"/>
          <w:b/>
          <w:color w:val="EF782D"/>
          <w:sz w:val="18"/>
          <w:szCs w:val="18"/>
        </w:rPr>
      </w:r>
    </w:p>
    <w:p>
      <w:pPr>
        <w:pStyle w:val="Normal"/>
        <w:spacing w:lineRule="auto" w:line="240" w:before="0" w:after="0"/>
        <w:jc w:val="right"/>
        <w:rPr>
          <w:rFonts w:ascii="Arial" w:hAnsi="Arial" w:eastAsia="Arial" w:cs="Arial"/>
          <w:color w:val="E36C09"/>
          <w:sz w:val="18"/>
          <w:szCs w:val="18"/>
        </w:rPr>
      </w:pPr>
      <w:r>
        <w:rPr>
          <w:rFonts w:eastAsia="Arial" w:cs="Arial" w:ascii="Arial" w:hAnsi="Arial"/>
          <w:b/>
          <w:color w:val="E36C09"/>
          <w:sz w:val="18"/>
          <w:szCs w:val="18"/>
        </w:rPr>
        <w:t>Fin de los servicios</w:t>
      </w:r>
      <w:r>
        <w:rPr>
          <w:rFonts w:eastAsia="Arial" w:cs="Arial" w:ascii="Arial" w:hAnsi="Arial"/>
          <w:color w:val="E36C09"/>
          <w:sz w:val="18"/>
          <w:szCs w:val="18"/>
        </w:rPr>
        <w:t>.</w:t>
      </w:r>
    </w:p>
    <w:p>
      <w:pPr>
        <w:pStyle w:val="ListParagraph"/>
        <w:suppressAutoHyphens w:val="false"/>
        <w:spacing w:lineRule="auto" w:line="240" w:before="0" w:after="0"/>
        <w:contextualSpacing/>
        <w:jc w:val="both"/>
        <w:rPr>
          <w:rFonts w:ascii="Arial" w:hAnsi="Arial" w:cs="Arial"/>
          <w:sz w:val="18"/>
          <w:szCs w:val="18"/>
        </w:rPr>
      </w:pPr>
      <w:r>
        <w:rPr>
          <w:rFonts w:cs="Arial" w:ascii="Arial" w:hAnsi="Arial"/>
          <w:sz w:val="18"/>
          <w:szCs w:val="18"/>
        </w:rPr>
      </w:r>
    </w:p>
    <w:p>
      <w:pPr>
        <w:pStyle w:val="Normal"/>
        <w:spacing w:lineRule="auto" w:line="240" w:before="0" w:after="0"/>
        <w:jc w:val="both"/>
        <w:rPr>
          <w:rFonts w:ascii="Arial" w:hAnsi="Arial" w:eastAsia="Times New Roman" w:cs="Arial"/>
          <w:b/>
          <w:b/>
          <w:color w:val="E36C0A" w:themeColor="accent6" w:themeShade="bf"/>
          <w:sz w:val="20"/>
          <w:szCs w:val="18"/>
          <w:lang w:eastAsia="es-ES"/>
        </w:rPr>
      </w:pPr>
      <w:r>
        <w:rPr>
          <w:rFonts w:eastAsia="Times New Roman" w:cs="Arial" w:ascii="Arial" w:hAnsi="Arial"/>
          <w:b/>
          <w:color w:val="E36C0A" w:themeColor="accent6" w:themeShade="bf"/>
          <w:sz w:val="20"/>
          <w:szCs w:val="18"/>
          <w:lang w:eastAsia="es-ES"/>
        </w:rPr>
        <w:t>Hoteles previstos o similares:</w:t>
      </w:r>
    </w:p>
    <w:tbl>
      <w:tblPr>
        <w:tblStyle w:val="Cuadrculamedia1-nfasis6"/>
        <w:tblW w:w="5000" w:type="pct"/>
        <w:jc w:val="center"/>
        <w:tblInd w:w="0" w:type="dxa"/>
        <w:shd w:fill="FDE4D0" w:val="clear"/>
        <w:tblLayout w:type="fixed"/>
        <w:tblCellMar>
          <w:top w:w="0" w:type="dxa"/>
          <w:left w:w="108" w:type="dxa"/>
          <w:bottom w:w="0" w:type="dxa"/>
          <w:right w:w="108" w:type="dxa"/>
        </w:tblCellMar>
        <w:tblLook w:firstRow="1" w:noVBand="1" w:lastRow="0" w:firstColumn="1" w:lastColumn="0" w:noHBand="0" w:val="04a0"/>
      </w:tblPr>
      <w:tblGrid>
        <w:gridCol w:w="4590"/>
        <w:gridCol w:w="5155"/>
      </w:tblGrid>
      <w:tr>
        <w:trPr>
          <w:trHeight w:val="578" w:hRule="atLeast"/>
          <w:cnfStyle w:val="100000000000" w:firstRow="1" w:lastRow="0" w:firstColumn="0" w:lastColumn="0" w:oddVBand="0" w:evenVBand="0" w:oddHBand="0" w:evenHBand="0" w:firstRowFirstColumn="0" w:firstRowLastColumn="0" w:lastRowFirstColumn="0" w:lastRowLastColumn="0"/>
        </w:trPr>
        <w:tc>
          <w:tcPr>
            <w:tcW w:w="4590" w:type="dxa"/>
            <w:cnfStyle w:val="001000000000" w:firstRow="0" w:lastRow="0" w:firstColumn="1" w:lastColumn="0" w:oddVBand="0" w:evenVBand="0" w:oddHBand="0" w:evenHBand="0" w:firstRowFirstColumn="0" w:firstRowLastColumn="0" w:lastRowFirstColumn="0" w:lastRowLastColumn="0"/>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cs="Arial"/>
                <w:bCs w:val="false"/>
                <w:color w:val="FFFFFF" w:themeColor="background1"/>
                <w:sz w:val="20"/>
                <w:szCs w:val="20"/>
                <w:lang w:val="es-AR"/>
              </w:rPr>
            </w:pPr>
            <w:r>
              <w:rPr>
                <w:rFonts w:eastAsia="Calibri" w:cs="Arial" w:ascii="Arial" w:hAnsi="Arial"/>
                <w:b/>
                <w:bCs w:val="false"/>
                <w:color w:val="FFFFFF" w:themeColor="background1"/>
                <w:kern w:val="0"/>
                <w:sz w:val="20"/>
                <w:szCs w:val="20"/>
                <w:lang w:val="es-AR" w:eastAsia="en-US" w:bidi="ar-SA"/>
              </w:rPr>
              <w:t>Ciudad</w:t>
            </w:r>
          </w:p>
        </w:tc>
        <w:tc>
          <w:tcPr>
            <w:tcW w:w="5155" w:type="dxa"/>
            <w:tcBorders/>
            <w:shd w:color="auto" w:fill="E36C0A" w:themeFill="accent6" w:themeFillShade="bf" w:val="clear"/>
            <w:vAlign w:val="center"/>
          </w:tcPr>
          <w:p>
            <w:pPr>
              <w:pStyle w:val="Normal"/>
              <w:widowControl w:val="false"/>
              <w:suppressAutoHyphens w:val="true"/>
              <w:spacing w:lineRule="auto" w:line="240" w:before="0" w:after="0"/>
              <w:jc w:val="center"/>
              <w:cnfStyle w:val="100000000000" w:firstRow="1" w:lastRow="0" w:firstColumn="0" w:lastColumn="0" w:oddVBand="0" w:evenVBand="0" w:oddHBand="0" w:evenHBand="0" w:firstRowFirstColumn="0" w:firstRowLastColumn="0" w:lastRowFirstColumn="0" w:lastRowLastColumn="0"/>
              <w:rPr>
                <w:rFonts w:ascii="Arial" w:hAnsi="Arial" w:cs="Arial"/>
                <w:bCs w:val="false"/>
                <w:color w:val="FFFFFF" w:themeColor="background1"/>
                <w:sz w:val="20"/>
                <w:szCs w:val="20"/>
                <w:lang w:val="es-AR"/>
              </w:rPr>
            </w:pPr>
            <w:r>
              <w:rPr>
                <w:rFonts w:eastAsia="Calibri" w:cs="Arial" w:ascii="Arial" w:hAnsi="Arial"/>
                <w:b/>
                <w:bCs w:val="false"/>
                <w:color w:val="FFFFFF" w:themeColor="background1"/>
                <w:kern w:val="0"/>
                <w:sz w:val="20"/>
                <w:szCs w:val="20"/>
                <w:lang w:val="es-AR" w:eastAsia="en-US" w:bidi="ar-SA"/>
              </w:rPr>
              <w:t>Primera</w:t>
            </w:r>
          </w:p>
        </w:tc>
      </w:tr>
      <w:tr>
        <w:trPr>
          <w:trHeight w:val="466" w:hRule="atLeast"/>
          <w:cnfStyle w:val="000000100000" w:firstRow="0" w:lastRow="0" w:firstColumn="0" w:lastColumn="0" w:oddVBand="0" w:evenVBand="0" w:oddHBand="1" w:evenHBand="0" w:firstRowFirstColumn="0" w:firstRowLastColumn="0" w:lastRowFirstColumn="0" w:lastRowLastColumn="0"/>
        </w:trPr>
        <w:tc>
          <w:tcPr>
            <w:tcW w:w="4590"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val="false"/>
              <w:suppressAutoHyphens w:val="true"/>
              <w:spacing w:lineRule="auto" w:line="240" w:before="0" w:after="0"/>
              <w:jc w:val="center"/>
              <w:rPr>
                <w:rFonts w:ascii="Arial" w:hAnsi="Arial" w:cs="Arial"/>
                <w:b w:val="false"/>
                <w:b w:val="false"/>
                <w:bCs w:val="false"/>
                <w:color w:val="000000" w:themeColor="text1"/>
                <w:sz w:val="18"/>
                <w:szCs w:val="18"/>
                <w:lang w:val="es-AR"/>
              </w:rPr>
            </w:pPr>
            <w:r>
              <w:rPr>
                <w:rFonts w:eastAsia="Calibri" w:cs="Arial" w:ascii="Arial" w:hAnsi="Arial"/>
                <w:b/>
                <w:bCs/>
                <w:color w:val="000000" w:themeColor="text1"/>
                <w:kern w:val="0"/>
                <w:sz w:val="18"/>
                <w:szCs w:val="18"/>
                <w:lang w:eastAsia="en-US" w:bidi="ar-SA"/>
              </w:rPr>
              <w:t>KIOTO</w:t>
            </w:r>
          </w:p>
        </w:tc>
        <w:tc>
          <w:tcPr>
            <w:tcW w:w="5155"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8"/>
                <w:szCs w:val="18"/>
                <w:lang w:val="en-US"/>
              </w:rPr>
            </w:pPr>
            <w:r>
              <w:rPr>
                <w:rFonts w:eastAsia="Calibri" w:cs="Arial" w:ascii="Arial" w:hAnsi="Arial"/>
                <w:color w:val="000000" w:themeColor="text1"/>
                <w:kern w:val="0"/>
                <w:sz w:val="18"/>
                <w:szCs w:val="18"/>
                <w:lang w:eastAsia="en-US" w:bidi="ar-SA"/>
              </w:rPr>
              <w:t>Kioto Century Hotel o similar</w:t>
            </w:r>
          </w:p>
        </w:tc>
      </w:tr>
      <w:tr>
        <w:trPr>
          <w:trHeight w:val="415" w:hRule="atLeast"/>
        </w:trPr>
        <w:tc>
          <w:tcPr>
            <w:tcW w:w="4590"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val="false"/>
              <w:suppressAutoHyphens w:val="true"/>
              <w:spacing w:lineRule="auto" w:line="240" w:before="0" w:after="0"/>
              <w:jc w:val="center"/>
              <w:rPr>
                <w:rFonts w:ascii="Arial" w:hAnsi="Arial" w:eastAsia="Calibri" w:cs="Arial"/>
                <w:color w:val="000000" w:themeColor="text1"/>
                <w:sz w:val="18"/>
                <w:szCs w:val="18"/>
              </w:rPr>
            </w:pPr>
            <w:r>
              <w:rPr>
                <w:rFonts w:eastAsia="Calibri" w:cs="Arial" w:ascii="Arial" w:hAnsi="Arial"/>
                <w:b/>
                <w:bCs/>
                <w:color w:val="000000" w:themeColor="text1"/>
                <w:kern w:val="0"/>
                <w:sz w:val="18"/>
                <w:szCs w:val="18"/>
                <w:lang w:eastAsia="en-US" w:bidi="ar-SA"/>
              </w:rPr>
              <w:t>HIROSHIMA / HATSUKAICHI</w:t>
            </w:r>
          </w:p>
        </w:tc>
        <w:tc>
          <w:tcPr>
            <w:tcW w:w="5155"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color w:val="000000" w:themeColor="text1"/>
                <w:sz w:val="18"/>
                <w:szCs w:val="18"/>
                <w:lang w:val="en-US"/>
              </w:rPr>
            </w:pPr>
            <w:r>
              <w:rPr>
                <w:rFonts w:cs="Arial" w:ascii="Arial" w:hAnsi="Arial"/>
                <w:color w:val="000000" w:themeColor="text1"/>
                <w:kern w:val="0"/>
                <w:sz w:val="18"/>
                <w:szCs w:val="18"/>
                <w:lang w:val="en-US" w:eastAsia="en-US" w:bidi="ar-SA"/>
              </w:rPr>
              <w:t>Granvia Hiroshima o similar / Aki Grand Hotel</w:t>
            </w:r>
          </w:p>
        </w:tc>
      </w:tr>
      <w:tr>
        <w:trPr>
          <w:trHeight w:val="407" w:hRule="atLeast"/>
          <w:cnfStyle w:val="000000100000" w:firstRow="0" w:lastRow="0" w:firstColumn="0" w:lastColumn="0" w:oddVBand="0" w:evenVBand="0" w:oddHBand="1" w:evenHBand="0" w:firstRowFirstColumn="0" w:firstRowLastColumn="0" w:lastRowFirstColumn="0" w:lastRowLastColumn="0"/>
        </w:trPr>
        <w:tc>
          <w:tcPr>
            <w:tcW w:w="4590"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val="false"/>
              <w:suppressAutoHyphens w:val="true"/>
              <w:spacing w:lineRule="auto" w:line="240" w:before="0" w:after="0"/>
              <w:jc w:val="center"/>
              <w:rPr>
                <w:rFonts w:ascii="Arial" w:hAnsi="Arial" w:eastAsia="Calibri" w:cs="Arial"/>
                <w:color w:val="000000" w:themeColor="text1"/>
                <w:sz w:val="18"/>
                <w:szCs w:val="18"/>
              </w:rPr>
            </w:pPr>
            <w:r>
              <w:rPr>
                <w:rFonts w:eastAsia="Calibri" w:cs="Arial" w:ascii="Arial" w:hAnsi="Arial"/>
                <w:b/>
                <w:bCs/>
                <w:color w:val="000000" w:themeColor="text1"/>
                <w:kern w:val="0"/>
                <w:sz w:val="18"/>
                <w:szCs w:val="18"/>
                <w:lang w:val="en-US" w:eastAsia="en-US" w:bidi="ar-SA"/>
              </w:rPr>
              <w:t>KOYASAN</w:t>
            </w:r>
          </w:p>
        </w:tc>
        <w:tc>
          <w:tcPr>
            <w:tcW w:w="5155"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8"/>
                <w:szCs w:val="18"/>
                <w:lang w:val="en-US"/>
              </w:rPr>
            </w:pPr>
            <w:r>
              <w:rPr>
                <w:rFonts w:eastAsia="Calibri" w:cs="Arial" w:ascii="Arial" w:hAnsi="Arial"/>
                <w:color w:val="000000" w:themeColor="text1"/>
                <w:kern w:val="0"/>
                <w:sz w:val="18"/>
                <w:szCs w:val="18"/>
                <w:lang w:val="en-US" w:eastAsia="en-US" w:bidi="ar-SA"/>
              </w:rPr>
              <w:t>Rengejo-in, Sekisho-in, Eko-in, Henjoko-in, Kumagaiji ,</w:t>
            </w:r>
          </w:p>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Calibri" w:cs="Arial"/>
                <w:b/>
                <w:b/>
                <w:bCs/>
                <w:color w:val="000000" w:themeColor="text1"/>
                <w:sz w:val="18"/>
                <w:szCs w:val="18"/>
              </w:rPr>
            </w:pPr>
            <w:r>
              <w:rPr>
                <w:rFonts w:cs="Arial" w:ascii="Arial" w:hAnsi="Arial"/>
                <w:color w:val="000000" w:themeColor="text1"/>
                <w:kern w:val="0"/>
                <w:sz w:val="18"/>
                <w:szCs w:val="18"/>
                <w:lang w:val="es-MX" w:eastAsia="en-US" w:bidi="ar-SA"/>
              </w:rPr>
              <w:t>Fukuchi-in (habitaciones japonesas) o similar</w:t>
            </w:r>
          </w:p>
        </w:tc>
      </w:tr>
      <w:tr>
        <w:trPr>
          <w:trHeight w:val="540" w:hRule="atLeast"/>
        </w:trPr>
        <w:tc>
          <w:tcPr>
            <w:tcW w:w="4590"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val="false"/>
              <w:suppressAutoHyphens w:val="true"/>
              <w:spacing w:lineRule="auto" w:line="240" w:before="0" w:after="0"/>
              <w:jc w:val="center"/>
              <w:rPr>
                <w:rFonts w:ascii="Arial" w:hAnsi="Arial" w:eastAsia="Calibri" w:cs="Arial"/>
                <w:color w:val="000000" w:themeColor="text1"/>
                <w:sz w:val="18"/>
                <w:szCs w:val="18"/>
              </w:rPr>
            </w:pPr>
            <w:r>
              <w:rPr>
                <w:rFonts w:eastAsia="Calibri" w:cs="Arial" w:ascii="Arial" w:hAnsi="Arial"/>
                <w:b/>
                <w:bCs/>
                <w:color w:val="000000" w:themeColor="text1"/>
                <w:kern w:val="0"/>
                <w:sz w:val="18"/>
                <w:szCs w:val="18"/>
                <w:lang w:val="es-AR" w:eastAsia="en-US" w:bidi="ar-SA"/>
              </w:rPr>
              <w:t>KAWAYU ONSEN / SHIRAHAMA</w:t>
            </w:r>
          </w:p>
        </w:tc>
        <w:tc>
          <w:tcPr>
            <w:tcW w:w="5155"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8"/>
                <w:szCs w:val="18"/>
                <w:lang w:val="es-MX"/>
              </w:rPr>
            </w:pPr>
            <w:r>
              <w:rPr>
                <w:rFonts w:eastAsia="Calibri" w:cs="Arial" w:ascii="Arial" w:hAnsi="Arial"/>
                <w:color w:val="000000" w:themeColor="text1"/>
                <w:kern w:val="0"/>
                <w:sz w:val="18"/>
                <w:szCs w:val="18"/>
                <w:lang w:val="es-MX" w:eastAsia="en-US" w:bidi="ar-SA"/>
              </w:rPr>
              <w:t>Ryokan Fujiya (hab.japonesa), Midoriya (hab.japonesa o</w:t>
            </w:r>
          </w:p>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b/>
                <w:b/>
                <w:bCs/>
                <w:color w:val="000000" w:themeColor="text1"/>
                <w:sz w:val="18"/>
                <w:szCs w:val="18"/>
              </w:rPr>
            </w:pPr>
            <w:r>
              <w:rPr>
                <w:rFonts w:cs="Arial" w:ascii="Arial" w:hAnsi="Arial"/>
                <w:color w:val="000000" w:themeColor="text1"/>
                <w:kern w:val="0"/>
                <w:sz w:val="18"/>
                <w:szCs w:val="18"/>
                <w:lang w:val="es-MX" w:eastAsia="en-US" w:bidi="ar-SA"/>
              </w:rPr>
              <w:t>occidental) o similar</w:t>
            </w:r>
          </w:p>
        </w:tc>
      </w:tr>
      <w:tr>
        <w:trPr>
          <w:trHeight w:val="406" w:hRule="atLeast"/>
          <w:cnfStyle w:val="000000100000" w:firstRow="0" w:lastRow="0" w:firstColumn="0" w:lastColumn="0" w:oddVBand="0" w:evenVBand="0" w:oddHBand="1" w:evenHBand="0" w:firstRowFirstColumn="0" w:firstRowLastColumn="0" w:lastRowFirstColumn="0" w:lastRowLastColumn="0"/>
        </w:trPr>
        <w:tc>
          <w:tcPr>
            <w:tcW w:w="4590"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val="false"/>
              <w:suppressAutoHyphens w:val="true"/>
              <w:spacing w:lineRule="auto" w:line="240" w:before="0" w:after="0"/>
              <w:jc w:val="center"/>
              <w:rPr>
                <w:rFonts w:ascii="Arial" w:hAnsi="Arial" w:eastAsia="Calibri" w:cs="Arial"/>
                <w:color w:val="000000" w:themeColor="text1"/>
                <w:sz w:val="18"/>
                <w:szCs w:val="18"/>
                <w:lang w:val="es-AR"/>
              </w:rPr>
            </w:pPr>
            <w:r>
              <w:rPr>
                <w:rFonts w:eastAsia="Calibri" w:cs="Arial" w:ascii="Arial" w:hAnsi="Arial"/>
                <w:b/>
                <w:bCs/>
                <w:color w:val="000000" w:themeColor="text1"/>
                <w:kern w:val="0"/>
                <w:sz w:val="18"/>
                <w:szCs w:val="18"/>
                <w:lang w:val="es-AR" w:eastAsia="en-US" w:bidi="ar-SA"/>
              </w:rPr>
              <w:t>OSAKA</w:t>
            </w:r>
          </w:p>
        </w:tc>
        <w:tc>
          <w:tcPr>
            <w:tcW w:w="5155"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8"/>
                <w:szCs w:val="18"/>
              </w:rPr>
            </w:pPr>
            <w:r>
              <w:rPr>
                <w:rFonts w:eastAsia="Calibri" w:cs="Arial" w:ascii="Arial" w:hAnsi="Arial"/>
                <w:color w:val="000000" w:themeColor="text1"/>
                <w:kern w:val="0"/>
                <w:sz w:val="18"/>
                <w:szCs w:val="18"/>
                <w:lang w:eastAsia="en-US" w:bidi="ar-SA"/>
              </w:rPr>
              <w:t>Citadines Namba Osaka o similar</w:t>
            </w:r>
          </w:p>
        </w:tc>
      </w:tr>
      <w:tr>
        <w:trPr>
          <w:trHeight w:val="412" w:hRule="atLeast"/>
        </w:trPr>
        <w:tc>
          <w:tcPr>
            <w:tcW w:w="4590"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val="false"/>
              <w:suppressAutoHyphens w:val="true"/>
              <w:spacing w:lineRule="auto" w:line="240" w:before="0" w:after="0"/>
              <w:jc w:val="center"/>
              <w:rPr>
                <w:rFonts w:ascii="Arial" w:hAnsi="Arial" w:eastAsia="Calibri" w:cs="Arial"/>
                <w:color w:val="000000" w:themeColor="text1"/>
                <w:sz w:val="18"/>
                <w:szCs w:val="18"/>
                <w:lang w:val="es-AR"/>
              </w:rPr>
            </w:pPr>
            <w:r>
              <w:rPr>
                <w:rFonts w:eastAsia="Calibri" w:cs="Arial" w:ascii="Arial" w:hAnsi="Arial"/>
                <w:b/>
                <w:bCs/>
                <w:color w:val="000000" w:themeColor="text1"/>
                <w:kern w:val="0"/>
                <w:sz w:val="18"/>
                <w:szCs w:val="18"/>
                <w:lang w:val="es-AR" w:eastAsia="en-US" w:bidi="ar-SA"/>
              </w:rPr>
              <w:t>KANAZAWA</w:t>
            </w:r>
          </w:p>
        </w:tc>
        <w:tc>
          <w:tcPr>
            <w:tcW w:w="5155"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eastAsia="Calibri" w:cs="Arial"/>
                <w:b/>
                <w:b/>
                <w:bCs/>
                <w:color w:val="000000" w:themeColor="text1"/>
                <w:sz w:val="18"/>
                <w:szCs w:val="18"/>
                <w:lang w:val="es-MX"/>
              </w:rPr>
            </w:pPr>
            <w:r>
              <w:rPr>
                <w:rFonts w:cs="Arial" w:ascii="Arial" w:hAnsi="Arial"/>
                <w:color w:val="000000" w:themeColor="text1"/>
                <w:kern w:val="0"/>
                <w:sz w:val="18"/>
                <w:szCs w:val="18"/>
                <w:lang w:eastAsia="en-US" w:bidi="ar-SA"/>
              </w:rPr>
              <w:t>Kanazawa Tokyu Hotel o similar</w:t>
            </w:r>
          </w:p>
        </w:tc>
      </w:tr>
      <w:tr>
        <w:trPr>
          <w:trHeight w:val="405" w:hRule="atLeast"/>
          <w:cnfStyle w:val="000000100000" w:firstRow="0" w:lastRow="0" w:firstColumn="0" w:lastColumn="0" w:oddVBand="0" w:evenVBand="0" w:oddHBand="1" w:evenHBand="0" w:firstRowFirstColumn="0" w:firstRowLastColumn="0" w:lastRowFirstColumn="0" w:lastRowLastColumn="0"/>
        </w:trPr>
        <w:tc>
          <w:tcPr>
            <w:tcW w:w="4590"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val="false"/>
              <w:suppressAutoHyphens w:val="true"/>
              <w:spacing w:lineRule="auto" w:line="240" w:before="0" w:after="0"/>
              <w:jc w:val="center"/>
              <w:rPr>
                <w:rFonts w:ascii="Arial" w:hAnsi="Arial" w:eastAsia="Calibri" w:cs="Arial"/>
                <w:color w:val="000000" w:themeColor="text1"/>
                <w:sz w:val="18"/>
                <w:szCs w:val="18"/>
                <w:lang w:val="es-AR"/>
              </w:rPr>
            </w:pPr>
            <w:r>
              <w:rPr>
                <w:rFonts w:eastAsia="Calibri" w:cs="Arial" w:ascii="Arial" w:hAnsi="Arial"/>
                <w:b/>
                <w:bCs/>
                <w:color w:val="000000" w:themeColor="text1"/>
                <w:kern w:val="0"/>
                <w:sz w:val="18"/>
                <w:szCs w:val="18"/>
                <w:lang w:val="es-AR" w:eastAsia="en-US" w:bidi="ar-SA"/>
              </w:rPr>
              <w:t>TAKAYAMA</w:t>
            </w:r>
          </w:p>
        </w:tc>
        <w:tc>
          <w:tcPr>
            <w:tcW w:w="5155" w:type="dxa"/>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8"/>
                <w:szCs w:val="18"/>
              </w:rPr>
            </w:pPr>
            <w:r>
              <w:rPr>
                <w:rFonts w:eastAsia="Calibri" w:cs="Arial" w:ascii="Arial" w:hAnsi="Arial"/>
                <w:color w:val="000000" w:themeColor="text1"/>
                <w:kern w:val="0"/>
                <w:sz w:val="18"/>
                <w:szCs w:val="18"/>
                <w:lang w:eastAsia="en-US" w:bidi="ar-SA"/>
              </w:rPr>
              <w:t>Takayama Green Hotel o similar</w:t>
            </w:r>
          </w:p>
        </w:tc>
      </w:tr>
      <w:tr>
        <w:trPr>
          <w:trHeight w:val="537" w:hRule="atLeast"/>
        </w:trPr>
        <w:tc>
          <w:tcPr>
            <w:tcW w:w="4590"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val="false"/>
              <w:suppressAutoHyphens w:val="true"/>
              <w:spacing w:lineRule="auto" w:line="240" w:before="0" w:after="0"/>
              <w:jc w:val="center"/>
              <w:rPr>
                <w:rFonts w:ascii="Arial" w:hAnsi="Arial" w:eastAsia="Calibri" w:cs="Arial"/>
                <w:color w:val="000000" w:themeColor="text1"/>
                <w:sz w:val="18"/>
                <w:szCs w:val="18"/>
                <w:lang w:val="es-AR"/>
              </w:rPr>
            </w:pPr>
            <w:r>
              <w:rPr>
                <w:rFonts w:eastAsia="Calibri" w:cs="Arial" w:ascii="Arial" w:hAnsi="Arial"/>
                <w:b/>
                <w:bCs/>
                <w:color w:val="000000" w:themeColor="text1"/>
                <w:kern w:val="0"/>
                <w:sz w:val="18"/>
                <w:szCs w:val="18"/>
                <w:lang w:val="es-AR" w:eastAsia="en-US" w:bidi="ar-SA"/>
              </w:rPr>
              <w:t>TOKIO</w:t>
            </w:r>
          </w:p>
        </w:tc>
        <w:tc>
          <w:tcPr>
            <w:tcW w:w="5155" w:type="dxa"/>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8"/>
                <w:szCs w:val="18"/>
              </w:rPr>
            </w:pPr>
            <w:r>
              <w:rPr>
                <w:rFonts w:eastAsia="Calibri" w:cs="Arial" w:ascii="Arial" w:hAnsi="Arial"/>
                <w:color w:val="000000" w:themeColor="text1"/>
                <w:kern w:val="0"/>
                <w:sz w:val="18"/>
                <w:szCs w:val="18"/>
                <w:lang w:eastAsia="en-US" w:bidi="ar-SA"/>
              </w:rPr>
              <w:t>Tokio Dome Hotel o similar</w:t>
            </w:r>
          </w:p>
        </w:tc>
      </w:tr>
    </w:tbl>
    <w:p>
      <w:pPr>
        <w:pStyle w:val="Normal"/>
        <w:spacing w:lineRule="auto" w:line="240" w:before="0" w:after="0"/>
        <w:jc w:val="both"/>
        <w:rPr>
          <w:rFonts w:ascii="Arial" w:hAnsi="Arial" w:eastAsia="Times New Roman" w:cs="Arial"/>
          <w:b/>
          <w:b/>
          <w:color w:val="E36C0A" w:themeColor="accent6" w:themeShade="bf"/>
          <w:sz w:val="18"/>
          <w:szCs w:val="18"/>
          <w:lang w:eastAsia="es-ES"/>
        </w:rPr>
      </w:pPr>
      <w:r>
        <w:rPr>
          <w:rFonts w:eastAsia="Times New Roman" w:cs="Arial" w:ascii="Arial" w:hAnsi="Arial"/>
          <w:b/>
          <w:color w:val="E36C0A" w:themeColor="accent6" w:themeShade="bf"/>
          <w:sz w:val="18"/>
          <w:szCs w:val="18"/>
          <w:lang w:eastAsia="es-ES"/>
        </w:rPr>
        <w:t>Notas de alojamiento:</w:t>
      </w:r>
    </w:p>
    <w:p>
      <w:pPr>
        <w:pStyle w:val="ListParagraph"/>
        <w:numPr>
          <w:ilvl w:val="0"/>
          <w:numId w:val="9"/>
        </w:numPr>
        <w:suppressAutoHyphens w:val="false"/>
        <w:spacing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Los hoteles son provisionales en este momento y podría haber variaciones en los hoteles asignados.</w:t>
      </w:r>
    </w:p>
    <w:p>
      <w:pPr>
        <w:pStyle w:val="ListParagraph"/>
        <w:numPr>
          <w:ilvl w:val="0"/>
          <w:numId w:val="9"/>
        </w:numPr>
        <w:suppressAutoHyphens w:val="false"/>
        <w:spacing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El tour se vende como paquete, por lo que no es posible alojarse en hoteles diferentes ni cambiar a otra categoría de habitaciones a los asignados para cada salida*</w:t>
      </w:r>
    </w:p>
    <w:p>
      <w:pPr>
        <w:pStyle w:val="ListParagraph"/>
        <w:numPr>
          <w:ilvl w:val="0"/>
          <w:numId w:val="9"/>
        </w:numPr>
        <w:suppressAutoHyphens w:val="false"/>
        <w:spacing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Programación sujeta a cambios sin previo aviso</w:t>
      </w:r>
    </w:p>
    <w:p>
      <w:pPr>
        <w:pStyle w:val="ListParagraph"/>
        <w:numPr>
          <w:ilvl w:val="0"/>
          <w:numId w:val="9"/>
        </w:numPr>
        <w:suppressAutoHyphens w:val="false"/>
        <w:spacing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La habitación de los hoteles es de tipo Twin (dos camas) y la petición de cama de matrimonio no está garantizada. Como la cama de matrimonio (cama king) no es común en Japón, algunos hoteles no tienen este tipo de habitación. Los pasajeros pueden solicitar cama de matrimonio en Kyoto y Tokyo sin suplemento, aunque no lo podemos garantizar ya que depende de la disponibilidad de cada hotel.</w:t>
      </w:r>
    </w:p>
    <w:p>
      <w:pPr>
        <w:pStyle w:val="ListParagraph"/>
        <w:numPr>
          <w:ilvl w:val="0"/>
          <w:numId w:val="9"/>
        </w:numPr>
        <w:suppressAutoHyphens w:val="false"/>
        <w:spacing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La habitación de uso individual puede ser más pequeña que la twin.</w:t>
      </w:r>
    </w:p>
    <w:p>
      <w:pPr>
        <w:pStyle w:val="ListParagraph"/>
        <w:numPr>
          <w:ilvl w:val="0"/>
          <w:numId w:val="9"/>
        </w:numPr>
        <w:suppressAutoHyphens w:val="false"/>
        <w:spacing w:before="0" w:after="0"/>
        <w:contextualSpacing/>
        <w:jc w:val="both"/>
        <w:rPr>
          <w:rFonts w:ascii="Arial" w:hAnsi="Arial" w:cs="Arial"/>
          <w:color w:val="000000" w:themeColor="text1"/>
          <w:sz w:val="18"/>
          <w:szCs w:val="18"/>
        </w:rPr>
      </w:pPr>
      <w:r>
        <w:rPr>
          <w:rFonts w:cs="Arial" w:ascii="Arial" w:hAnsi="Arial"/>
          <w:b/>
          <w:color w:val="000000" w:themeColor="text1"/>
          <w:sz w:val="18"/>
          <w:szCs w:val="18"/>
        </w:rPr>
        <w:t>En el shukubo de Koyasan, las habitaciones no tienen baño privado</w:t>
      </w:r>
      <w:r>
        <w:rPr>
          <w:rFonts w:cs="Arial" w:ascii="Arial" w:hAnsi="Arial"/>
          <w:color w:val="000000" w:themeColor="text1"/>
          <w:sz w:val="18"/>
          <w:szCs w:val="18"/>
        </w:rPr>
        <w:t>. El servicio de cena y desayuno se sirve sobre el tatami (suelo japonés).</w:t>
      </w:r>
    </w:p>
    <w:p>
      <w:pPr>
        <w:pStyle w:val="ListParagraph"/>
        <w:numPr>
          <w:ilvl w:val="0"/>
          <w:numId w:val="9"/>
        </w:numPr>
        <w:suppressAutoHyphens w:val="false"/>
        <w:spacing w:before="0" w:after="0"/>
        <w:contextualSpacing/>
        <w:jc w:val="both"/>
        <w:rPr>
          <w:rFonts w:ascii="Arial" w:hAnsi="Arial" w:cs="Arial"/>
          <w:color w:val="000000" w:themeColor="text1"/>
          <w:sz w:val="18"/>
          <w:szCs w:val="18"/>
        </w:rPr>
      </w:pPr>
      <w:r>
        <w:rPr>
          <w:rFonts w:cs="Arial" w:ascii="Arial" w:hAnsi="Arial"/>
          <w:b/>
          <w:color w:val="000000" w:themeColor="text1"/>
          <w:sz w:val="18"/>
          <w:szCs w:val="18"/>
        </w:rPr>
        <w:t xml:space="preserve">Aguas termales “Onsen”: </w:t>
      </w:r>
      <w:r>
        <w:rPr>
          <w:rFonts w:cs="Arial" w:ascii="Arial" w:hAnsi="Arial"/>
          <w:color w:val="000000" w:themeColor="text1"/>
          <w:sz w:val="18"/>
          <w:szCs w:val="18"/>
        </w:rPr>
        <w:t xml:space="preserve">Por favor tome nota de que no se aceptan personas con tatuajes en los Onsen por motivos culturales. </w:t>
      </w:r>
      <w:r>
        <w:rPr>
          <w:rFonts w:cs="Arial" w:ascii="Arial" w:hAnsi="Arial"/>
          <w:color w:val="000000" w:themeColor="text1"/>
          <w:sz w:val="18"/>
          <w:szCs w:val="18"/>
          <w:lang w:val="es-MX"/>
        </w:rPr>
        <w:t>Por favor consultar ya que cada alojamiento puede tener condiciones distintas</w:t>
      </w:r>
      <w:r>
        <w:rPr>
          <w:rFonts w:cs="Arial" w:ascii="Arial" w:hAnsi="Arial"/>
          <w:color w:val="000000" w:themeColor="text1"/>
          <w:sz w:val="18"/>
          <w:szCs w:val="18"/>
        </w:rPr>
        <w:t xml:space="preserve"> </w:t>
      </w:r>
    </w:p>
    <w:p>
      <w:pPr>
        <w:pStyle w:val="ListParagraph"/>
        <w:numPr>
          <w:ilvl w:val="0"/>
          <w:numId w:val="9"/>
        </w:numPr>
        <w:suppressAutoHyphens w:val="false"/>
        <w:spacing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 xml:space="preserve">Horario de check-in a partir de las 15h00 y </w:t>
      </w:r>
      <w:r>
        <w:rPr>
          <w:rFonts w:cs="Arial" w:ascii="Arial" w:hAnsi="Arial"/>
          <w:color w:val="000000" w:themeColor="text1"/>
          <w:sz w:val="18"/>
          <w:szCs w:val="18"/>
          <w:lang w:val="es-MX"/>
        </w:rPr>
        <w:t>el check out antes de las 11h00.</w:t>
      </w:r>
    </w:p>
    <w:p>
      <w:pPr>
        <w:pStyle w:val="ListParagraph"/>
        <w:numPr>
          <w:ilvl w:val="0"/>
          <w:numId w:val="9"/>
        </w:numPr>
        <w:suppressAutoHyphens w:val="false"/>
        <w:spacing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Suplemento de early check-in tiene el mismo precio de una noche extra (pre-tour). Disponibilidad no garantizada.</w:t>
      </w:r>
    </w:p>
    <w:p>
      <w:pPr>
        <w:pStyle w:val="ListParagraph"/>
        <w:numPr>
          <w:ilvl w:val="0"/>
          <w:numId w:val="9"/>
        </w:numPr>
        <w:suppressAutoHyphens w:val="false"/>
        <w:spacing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Suplemento de late check-out tiene el mismo precio que una noche extra (post-tour). Disponibilidad no garantizada.</w:t>
      </w:r>
    </w:p>
    <w:p>
      <w:pPr>
        <w:pStyle w:val="ListParagraph"/>
        <w:numPr>
          <w:ilvl w:val="0"/>
          <w:numId w:val="9"/>
        </w:numPr>
        <w:suppressAutoHyphens w:val="false"/>
        <w:spacing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Las habitaciones reservadas son no-fumador. En caso de que deseen habitación de fumador, hay que solicitarlo previamente y la disponibilidad no está garantizada.</w:t>
      </w:r>
    </w:p>
    <w:p>
      <w:pPr>
        <w:pStyle w:val="ListParagraph"/>
        <w:numPr>
          <w:ilvl w:val="0"/>
          <w:numId w:val="9"/>
        </w:numPr>
        <w:suppressAutoHyphens w:val="false"/>
        <w:spacing w:before="0" w:after="0"/>
        <w:contextualSpacing/>
        <w:jc w:val="both"/>
        <w:rPr>
          <w:rFonts w:ascii="Arial" w:hAnsi="Arial" w:eastAsia="Times New Roman" w:cs="Arial"/>
          <w:color w:val="000000" w:themeColor="text1"/>
          <w:sz w:val="18"/>
          <w:szCs w:val="18"/>
          <w:lang w:val="es-ES_tradnl" w:eastAsia="es-ES"/>
        </w:rPr>
      </w:pPr>
      <w:r>
        <w:rPr>
          <w:rFonts w:cs="Arial" w:ascii="Arial" w:hAnsi="Arial"/>
          <w:color w:val="000000" w:themeColor="text1"/>
          <w:sz w:val="18"/>
          <w:szCs w:val="18"/>
        </w:rPr>
        <w:t>El tour se vende como paquete, por lo que no es posible alojarse en hoteles diferentes ni cambiar a otra categoría de habitaciones a los asignados para cada salida</w:t>
      </w:r>
    </w:p>
    <w:p>
      <w:pPr>
        <w:pStyle w:val="ListParagraph"/>
        <w:suppressAutoHyphens w:val="false"/>
        <w:spacing w:before="0" w:after="0"/>
        <w:contextualSpacing/>
        <w:jc w:val="both"/>
        <w:rPr>
          <w:rFonts w:ascii="Arial" w:hAnsi="Arial" w:eastAsia="Times New Roman" w:cs="Arial"/>
          <w:color w:val="000000"/>
          <w:sz w:val="18"/>
          <w:szCs w:val="18"/>
          <w:lang w:val="es-ES_tradnl" w:eastAsia="es-ES"/>
        </w:rPr>
      </w:pPr>
      <w:r>
        <w:rPr>
          <w:rFonts w:eastAsia="Times New Roman" w:cs="Arial" w:ascii="Arial" w:hAnsi="Arial"/>
          <w:color w:val="000000"/>
          <w:sz w:val="18"/>
          <w:szCs w:val="18"/>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PRECIO POR PERSONA EN USD:</w:t>
      </w:r>
    </w:p>
    <w:p>
      <w:pPr>
        <w:pStyle w:val="Normal"/>
        <w:spacing w:lineRule="auto" w:line="240" w:before="0" w:after="0"/>
        <w:ind w:left="2124" w:firstLine="708"/>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tbl>
      <w:tblPr>
        <w:tblStyle w:val="Cuadrculamedia1-nfasis6"/>
        <w:tblW w:w="5000" w:type="pct"/>
        <w:jc w:val="center"/>
        <w:tblInd w:w="0" w:type="dxa"/>
        <w:shd w:fill="FDE4D0" w:val="clear"/>
        <w:tblLayout w:type="fixed"/>
        <w:tblCellMar>
          <w:top w:w="0" w:type="dxa"/>
          <w:left w:w="108" w:type="dxa"/>
          <w:bottom w:w="0" w:type="dxa"/>
          <w:right w:w="108" w:type="dxa"/>
        </w:tblCellMar>
        <w:tblLook w:firstRow="1" w:noVBand="1" w:lastRow="0" w:firstColumn="1" w:lastColumn="0" w:noHBand="0" w:val="04a0"/>
      </w:tblPr>
      <w:tblGrid>
        <w:gridCol w:w="6920"/>
        <w:gridCol w:w="1554"/>
        <w:gridCol w:w="1272"/>
      </w:tblGrid>
      <w:tr>
        <w:trPr>
          <w:trHeight w:val="454" w:hRule="atLeast"/>
          <w:cnfStyle w:val="100000000000" w:firstRow="1" w:lastRow="0" w:firstColumn="0" w:lastColumn="0" w:oddVBand="0" w:evenVBand="0" w:oddHBand="0" w:evenHBand="0" w:firstRowFirstColumn="0" w:firstRowLastColumn="0" w:lastRowFirstColumn="0" w:lastRowLastColumn="0"/>
        </w:trPr>
        <w:tc>
          <w:tcPr>
            <w:tcW w:w="9746" w:type="dxa"/>
            <w:gridSpan w:val="3"/>
            <w:cnfStyle w:val="001000000000" w:firstRow="0" w:lastRow="0" w:firstColumn="1" w:lastColumn="0" w:oddVBand="0" w:evenVBand="0" w:oddHBand="0" w:evenHBand="0" w:firstRowFirstColumn="0" w:firstRowLastColumn="0" w:lastRowFirstColumn="0" w:lastRowLastColumn="0"/>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Calibri" w:cs="Arial"/>
                <w:color w:val="FFFFFF" w:themeColor="background1"/>
                <w:sz w:val="20"/>
                <w:szCs w:val="20"/>
              </w:rPr>
            </w:pPr>
            <w:r>
              <w:rPr>
                <w:rFonts w:eastAsia="Times New Roman" w:cs="Arial" w:ascii="Arial" w:hAnsi="Arial"/>
                <w:b/>
                <w:bCs/>
                <w:color w:val="FFFFFF" w:themeColor="background1"/>
                <w:kern w:val="0"/>
                <w:sz w:val="20"/>
                <w:szCs w:val="20"/>
                <w:lang w:val="es-ES_tradnl" w:eastAsia="es-ES" w:bidi="ar-SA"/>
              </w:rPr>
              <w:t>Categoría:  Primera</w:t>
            </w:r>
          </w:p>
        </w:tc>
      </w:tr>
      <w:tr>
        <w:trPr>
          <w:trHeight w:val="454" w:hRule="atLeast"/>
          <w:cnfStyle w:val="000000100000" w:firstRow="0" w:lastRow="0" w:firstColumn="0" w:lastColumn="0" w:oddVBand="0" w:evenVBand="0" w:oddHBand="1" w:evenHBand="0" w:firstRowFirstColumn="0" w:firstRowLastColumn="0" w:lastRowFirstColumn="0" w:lastRowLastColumn="0"/>
        </w:trPr>
        <w:tc>
          <w:tcPr>
            <w:tcW w:w="6920" w:type="dxa"/>
            <w:cnfStyle w:val="001000000000" w:firstRow="0" w:lastRow="0" w:firstColumn="1" w:lastColumn="0" w:oddVBand="0" w:evenVBand="0" w:oddHBand="0" w:evenHBand="0" w:firstRowFirstColumn="0" w:firstRowLastColumn="0" w:lastRowFirstColumn="0" w:lastRowLastColumn="0"/>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color w:val="FFFFFF" w:themeColor="background1"/>
                <w:sz w:val="20"/>
                <w:szCs w:val="20"/>
                <w:lang w:val="es-ES_tradnl" w:eastAsia="es-ES"/>
              </w:rPr>
            </w:pPr>
            <w:r>
              <w:rPr>
                <w:rFonts w:eastAsia="Times New Roman" w:cs="Arial" w:ascii="Arial" w:hAnsi="Arial"/>
                <w:b/>
                <w:bCs/>
                <w:color w:val="FFFFFF" w:themeColor="background1"/>
                <w:kern w:val="0"/>
                <w:sz w:val="20"/>
                <w:szCs w:val="20"/>
                <w:lang w:val="es-ES_tradnl" w:eastAsia="es-ES" w:bidi="ar-SA"/>
              </w:rPr>
              <w:t>Salidas: Especificas</w:t>
            </w:r>
          </w:p>
        </w:tc>
        <w:tc>
          <w:tcPr>
            <w:tcW w:w="1554" w:type="dxa"/>
            <w:tcBorders>
              <w:right w:val="single" w:sz="4" w:space="0" w:color="F79646"/>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FFFFFF" w:themeColor="background1"/>
                <w:sz w:val="20"/>
                <w:szCs w:val="20"/>
                <w:lang w:val="es-ES_tradnl" w:eastAsia="es-ES"/>
              </w:rPr>
            </w:pPr>
            <w:r>
              <w:rPr>
                <w:rFonts w:eastAsia="Times New Roman" w:cs="Arial" w:ascii="Arial" w:hAnsi="Arial"/>
                <w:color w:val="FFFFFF" w:themeColor="background1"/>
                <w:kern w:val="0"/>
                <w:sz w:val="20"/>
                <w:szCs w:val="20"/>
                <w:lang w:val="es-ES_tradnl" w:eastAsia="es-ES" w:bidi="ar-SA"/>
              </w:rPr>
              <w:t>Sencilla</w:t>
            </w:r>
          </w:p>
        </w:tc>
        <w:tc>
          <w:tcPr>
            <w:tcW w:w="1272" w:type="dxa"/>
            <w:tcBorders>
              <w:left w:val="single" w:sz="4" w:space="0" w:color="F79646"/>
              <w:bottom w:val="single" w:sz="4" w:space="0" w:color="F79646"/>
              <w:right w:val="single" w:sz="4" w:space="0" w:color="F79646"/>
            </w:tcBorders>
            <w:shd w:color="auto" w:fill="E36C0A" w:themeFill="accent6" w:themeFillShade="bf"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rPr>
            </w:pPr>
            <w:r>
              <w:rPr>
                <w:rFonts w:eastAsia="Calibri" w:cs="Arial" w:ascii="Arial" w:hAnsi="Arial"/>
                <w:color w:val="FFFFFF" w:themeColor="background1"/>
                <w:kern w:val="0"/>
                <w:sz w:val="20"/>
                <w:szCs w:val="20"/>
                <w:lang w:eastAsia="en-US" w:bidi="ar-SA"/>
              </w:rPr>
              <w:t>Doble</w:t>
            </w:r>
          </w:p>
        </w:tc>
      </w:tr>
      <w:tr>
        <w:trPr>
          <w:trHeight w:val="530" w:hRule="atLeast"/>
        </w:trPr>
        <w:tc>
          <w:tcPr>
            <w:tcW w:w="6920" w:type="dxa"/>
            <w:cnfStyle w:val="001000000000" w:firstRow="0" w:lastRow="0" w:firstColumn="1" w:lastColumn="0" w:oddVBand="0" w:evenVBand="0" w:oddHBand="0" w:evenHBand="0" w:firstRowFirstColumn="0" w:firstRowLastColumn="0" w:lastRowFirstColumn="0" w:lastRowLastColumn="0"/>
            <w:tcBorders/>
            <w:shd w:color="auto" w:fill="FFFFFF" w:themeFill="background1" w:val="clear"/>
            <w:vAlign w:val="center"/>
          </w:tcPr>
          <w:p>
            <w:pPr>
              <w:pStyle w:val="Normal"/>
              <w:widowControl w:val="false"/>
              <w:suppressAutoHyphens w:val="true"/>
              <w:spacing w:lineRule="auto" w:line="240" w:before="0" w:after="0"/>
              <w:jc w:val="left"/>
              <w:rPr>
                <w:rFonts w:ascii="Arial" w:hAnsi="Arial" w:eastAsia="Times New Roman" w:cs="Arial"/>
                <w:bCs w:val="false"/>
                <w:color w:val="000000" w:themeColor="text1"/>
                <w:sz w:val="18"/>
                <w:szCs w:val="18"/>
                <w:lang w:val="es-ES_tradnl" w:eastAsia="es-ES"/>
              </w:rPr>
            </w:pPr>
            <w:r>
              <w:rPr>
                <w:rFonts w:eastAsia="Times New Roman" w:cs="Arial" w:ascii="Arial" w:hAnsi="Arial"/>
                <w:b w:val="false"/>
                <w:bCs/>
                <w:color w:val="000000" w:themeColor="text1"/>
                <w:kern w:val="0"/>
                <w:sz w:val="18"/>
                <w:szCs w:val="18"/>
                <w:lang w:val="es-ES_tradnl" w:eastAsia="es-ES" w:bidi="ar-SA"/>
              </w:rPr>
              <w:t>Junio: 4, 11, 18, 25</w:t>
            </w:r>
          </w:p>
          <w:p>
            <w:pPr>
              <w:pStyle w:val="Normal"/>
              <w:widowControl w:val="false"/>
              <w:suppressAutoHyphens w:val="true"/>
              <w:spacing w:lineRule="auto" w:line="240" w:before="0" w:after="0"/>
              <w:jc w:val="left"/>
              <w:rPr>
                <w:rFonts w:ascii="Arial" w:hAnsi="Arial" w:eastAsia="Times New Roman" w:cs="Arial"/>
                <w:b w:val="false"/>
                <w:b w:val="false"/>
                <w:color w:val="000000" w:themeColor="text1"/>
                <w:sz w:val="18"/>
                <w:szCs w:val="18"/>
                <w:lang w:val="es-ES_tradnl" w:eastAsia="es-ES"/>
              </w:rPr>
            </w:pPr>
            <w:r>
              <w:rPr>
                <w:rFonts w:eastAsia="Times New Roman" w:cs="Arial" w:ascii="Arial" w:hAnsi="Arial"/>
                <w:b w:val="false"/>
                <w:bCs/>
                <w:color w:val="000000" w:themeColor="text1"/>
                <w:kern w:val="0"/>
                <w:sz w:val="18"/>
                <w:szCs w:val="18"/>
                <w:lang w:val="es-ES_tradnl" w:eastAsia="es-ES" w:bidi="ar-SA"/>
              </w:rPr>
              <w:t>Julio: 2, 4</w:t>
            </w:r>
          </w:p>
        </w:tc>
        <w:tc>
          <w:tcPr>
            <w:tcW w:w="1554" w:type="dxa"/>
            <w:tcBorders>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8"/>
                <w:szCs w:val="18"/>
              </w:rPr>
            </w:pPr>
            <w:r>
              <w:rPr>
                <w:rFonts w:eastAsia="Calibri" w:cs="Arial" w:ascii="Arial" w:hAnsi="Arial"/>
                <w:color w:val="000000" w:themeColor="text1"/>
                <w:kern w:val="0"/>
                <w:sz w:val="18"/>
                <w:szCs w:val="18"/>
                <w:lang w:eastAsia="en-US" w:bidi="ar-SA"/>
              </w:rPr>
              <w:t xml:space="preserve">USD </w:t>
            </w:r>
            <w:r>
              <w:rPr>
                <w:rFonts w:eastAsia="Calibri" w:cs="Arial" w:ascii="Arial" w:hAnsi="Arial"/>
                <w:color w:val="000000" w:themeColor="text1"/>
                <w:kern w:val="0"/>
                <w:sz w:val="18"/>
                <w:szCs w:val="18"/>
                <w:lang w:eastAsia="en-US" w:bidi="ar-SA"/>
              </w:rPr>
              <w:t>6,639</w:t>
            </w:r>
          </w:p>
        </w:tc>
        <w:tc>
          <w:tcPr>
            <w:tcW w:w="1272"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8"/>
                <w:szCs w:val="18"/>
              </w:rPr>
            </w:pPr>
            <w:r>
              <w:rPr>
                <w:rFonts w:eastAsia="Calibri" w:cs="Arial" w:ascii="Arial" w:hAnsi="Arial"/>
                <w:color w:val="000000" w:themeColor="text1"/>
                <w:kern w:val="0"/>
                <w:sz w:val="18"/>
                <w:szCs w:val="18"/>
                <w:lang w:eastAsia="en-US" w:bidi="ar-SA"/>
              </w:rPr>
              <w:t xml:space="preserve">USD </w:t>
            </w:r>
            <w:r>
              <w:rPr>
                <w:rFonts w:eastAsia="Calibri" w:cs="Arial" w:ascii="Arial" w:hAnsi="Arial"/>
                <w:color w:val="000000" w:themeColor="text1"/>
                <w:kern w:val="0"/>
                <w:sz w:val="18"/>
                <w:szCs w:val="18"/>
                <w:lang w:eastAsia="en-US" w:bidi="ar-SA"/>
              </w:rPr>
              <w:t>4,904</w:t>
            </w:r>
          </w:p>
        </w:tc>
      </w:tr>
      <w:tr>
        <w:trPr>
          <w:trHeight w:val="408" w:hRule="atLeast"/>
          <w:cnfStyle w:val="000000100000" w:firstRow="0" w:lastRow="0" w:firstColumn="0" w:lastColumn="0" w:oddVBand="0" w:evenVBand="0" w:oddHBand="1" w:evenHBand="0" w:firstRowFirstColumn="0" w:firstRowLastColumn="0" w:lastRowFirstColumn="0" w:lastRowLastColumn="0"/>
        </w:trPr>
        <w:tc>
          <w:tcPr>
            <w:tcW w:w="6920" w:type="dxa"/>
            <w:cnfStyle w:val="001000000000" w:firstRow="0" w:lastRow="0" w:firstColumn="1" w:lastColumn="0" w:oddVBand="0" w:evenVBand="0" w:oddHBand="0" w:evenHBand="0" w:firstRowFirstColumn="0" w:firstRowLastColumn="0" w:lastRowFirstColumn="0" w:lastRowLastColumn="0"/>
            <w:tcBorders>
              <w:top w:val="nil"/>
              <w:bottom w:val="single" w:sz="4" w:space="0" w:color="F79646"/>
            </w:tcBorders>
            <w:shd w:color="auto" w:fill="FFFFFF" w:themeFill="background1" w:val="clear"/>
            <w:vAlign w:val="center"/>
          </w:tcPr>
          <w:p>
            <w:pPr>
              <w:pStyle w:val="Normal"/>
              <w:widowControl w:val="false"/>
              <w:suppressAutoHyphens w:val="true"/>
              <w:spacing w:lineRule="auto" w:line="240" w:before="0" w:after="0"/>
              <w:jc w:val="both"/>
              <w:rPr>
                <w:rFonts w:ascii="Arial" w:hAnsi="Arial" w:eastAsia="Times New Roman" w:cs="Arial"/>
                <w:color w:val="000000" w:themeColor="text1"/>
                <w:sz w:val="18"/>
                <w:szCs w:val="18"/>
                <w:lang w:val="es-ES_tradnl" w:eastAsia="es-ES"/>
              </w:rPr>
            </w:pPr>
            <w:r>
              <w:rPr>
                <w:rFonts w:eastAsia="Times New Roman" w:cs="Arial" w:ascii="Arial" w:hAnsi="Arial"/>
                <w:b w:val="false"/>
                <w:bCs w:val="false"/>
                <w:color w:val="000000" w:themeColor="text1"/>
                <w:kern w:val="0"/>
                <w:sz w:val="18"/>
                <w:szCs w:val="18"/>
                <w:lang w:val="es-ES_tradnl" w:eastAsia="es-ES" w:bidi="ar-SA"/>
              </w:rPr>
              <w:t>Mayo: 9, 13, 16, 21, 23, 27, 28, 30</w:t>
            </w:r>
          </w:p>
          <w:p>
            <w:pPr>
              <w:pStyle w:val="Normal"/>
              <w:widowControl w:val="false"/>
              <w:suppressAutoHyphens w:val="true"/>
              <w:spacing w:lineRule="auto" w:line="240" w:before="0" w:after="0"/>
              <w:jc w:val="both"/>
              <w:rPr>
                <w:rFonts w:ascii="Arial" w:hAnsi="Arial" w:eastAsia="Times New Roman" w:cs="Arial"/>
                <w:color w:val="000000" w:themeColor="text1"/>
                <w:sz w:val="18"/>
                <w:szCs w:val="18"/>
                <w:lang w:val="es-ES_tradnl" w:eastAsia="es-ES"/>
              </w:rPr>
            </w:pPr>
            <w:r>
              <w:rPr>
                <w:rFonts w:eastAsia="Times New Roman" w:cs="Arial" w:ascii="Arial" w:hAnsi="Arial"/>
                <w:b w:val="false"/>
                <w:bCs w:val="false"/>
                <w:color w:val="000000" w:themeColor="text1"/>
                <w:kern w:val="0"/>
                <w:sz w:val="18"/>
                <w:szCs w:val="18"/>
                <w:lang w:val="es-ES_tradnl" w:eastAsia="es-ES" w:bidi="ar-SA"/>
              </w:rPr>
              <w:t>Julio: 9, 11, 16,18, 23, 25,30</w:t>
            </w:r>
          </w:p>
          <w:p>
            <w:pPr>
              <w:pStyle w:val="Normal"/>
              <w:widowControl w:val="false"/>
              <w:suppressAutoHyphens w:val="true"/>
              <w:spacing w:lineRule="auto" w:line="240" w:before="0" w:after="0"/>
              <w:jc w:val="both"/>
              <w:rPr>
                <w:rFonts w:ascii="Arial" w:hAnsi="Arial" w:eastAsia="Times New Roman" w:cs="Arial"/>
                <w:color w:val="000000" w:themeColor="text1"/>
                <w:sz w:val="18"/>
                <w:szCs w:val="18"/>
                <w:lang w:val="es-ES_tradnl" w:eastAsia="es-ES"/>
              </w:rPr>
            </w:pPr>
            <w:r>
              <w:rPr>
                <w:rFonts w:eastAsia="Times New Roman" w:cs="Arial" w:ascii="Arial" w:hAnsi="Arial"/>
                <w:b w:val="false"/>
                <w:bCs w:val="false"/>
                <w:color w:val="000000" w:themeColor="text1"/>
                <w:kern w:val="0"/>
                <w:sz w:val="18"/>
                <w:szCs w:val="18"/>
                <w:lang w:val="es-ES_tradnl" w:eastAsia="es-ES" w:bidi="ar-SA"/>
              </w:rPr>
              <w:t xml:space="preserve">Agosto: 27, 29 </w:t>
            </w:r>
          </w:p>
          <w:p>
            <w:pPr>
              <w:pStyle w:val="Normal"/>
              <w:widowControl w:val="false"/>
              <w:suppressAutoHyphens w:val="true"/>
              <w:spacing w:lineRule="auto" w:line="240" w:before="0" w:after="0"/>
              <w:jc w:val="both"/>
              <w:rPr>
                <w:rFonts w:ascii="Arial" w:hAnsi="Arial" w:eastAsia="Times New Roman" w:cs="Arial"/>
                <w:color w:val="000000" w:themeColor="text1"/>
                <w:sz w:val="18"/>
                <w:szCs w:val="18"/>
                <w:lang w:val="es-ES_tradnl" w:eastAsia="es-ES"/>
              </w:rPr>
            </w:pPr>
            <w:r>
              <w:rPr>
                <w:rFonts w:eastAsia="Times New Roman" w:cs="Arial" w:ascii="Arial" w:hAnsi="Arial"/>
                <w:b w:val="false"/>
                <w:bCs w:val="false"/>
                <w:color w:val="000000" w:themeColor="text1"/>
                <w:kern w:val="0"/>
                <w:sz w:val="18"/>
                <w:szCs w:val="18"/>
                <w:lang w:val="es-ES_tradnl" w:eastAsia="es-ES" w:bidi="ar-SA"/>
              </w:rPr>
              <w:t>Septiembre: 17</w:t>
            </w:r>
          </w:p>
          <w:p>
            <w:pPr>
              <w:pStyle w:val="Normal"/>
              <w:widowControl w:val="false"/>
              <w:suppressAutoHyphens w:val="true"/>
              <w:spacing w:lineRule="auto" w:line="240" w:before="0" w:after="0"/>
              <w:jc w:val="both"/>
              <w:rPr>
                <w:rFonts w:ascii="Arial" w:hAnsi="Arial" w:eastAsia="Times New Roman" w:cs="Arial"/>
                <w:b w:val="false"/>
                <w:b w:val="false"/>
                <w:bCs w:val="false"/>
                <w:color w:val="000000" w:themeColor="text1"/>
                <w:sz w:val="18"/>
                <w:szCs w:val="18"/>
                <w:lang w:val="es-ES_tradnl" w:eastAsia="es-ES"/>
              </w:rPr>
            </w:pPr>
            <w:r>
              <w:rPr>
                <w:rFonts w:eastAsia="Times New Roman" w:cs="Arial" w:ascii="Arial" w:hAnsi="Arial"/>
                <w:b w:val="false"/>
                <w:bCs w:val="false"/>
                <w:color w:val="000000" w:themeColor="text1"/>
                <w:kern w:val="0"/>
                <w:sz w:val="18"/>
                <w:szCs w:val="18"/>
                <w:lang w:val="es-ES_tradnl" w:eastAsia="es-ES" w:bidi="ar-SA"/>
              </w:rPr>
              <w:t xml:space="preserve">Octubre: 14, 15 </w:t>
            </w:r>
          </w:p>
        </w:tc>
        <w:tc>
          <w:tcPr>
            <w:tcW w:w="1554" w:type="dxa"/>
            <w:tcBorders>
              <w:top w:val="nil"/>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8"/>
                <w:szCs w:val="18"/>
              </w:rPr>
            </w:pPr>
            <w:r>
              <w:rPr>
                <w:rFonts w:eastAsia="Calibri" w:cs="Arial" w:ascii="Arial" w:hAnsi="Arial"/>
                <w:color w:val="000000" w:themeColor="text1"/>
                <w:kern w:val="0"/>
                <w:sz w:val="18"/>
                <w:szCs w:val="18"/>
                <w:lang w:eastAsia="en-US" w:bidi="ar-SA"/>
              </w:rPr>
              <w:t xml:space="preserve">USD </w:t>
            </w:r>
            <w:r>
              <w:rPr>
                <w:rFonts w:eastAsia="Calibri" w:cs="Arial" w:ascii="Arial" w:hAnsi="Arial"/>
                <w:color w:val="000000" w:themeColor="text1"/>
                <w:kern w:val="0"/>
                <w:sz w:val="18"/>
                <w:szCs w:val="18"/>
                <w:lang w:eastAsia="en-US" w:bidi="ar-SA"/>
              </w:rPr>
              <w:t>6,948</w:t>
            </w:r>
          </w:p>
        </w:tc>
        <w:tc>
          <w:tcPr>
            <w:tcW w:w="1272"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8"/>
                <w:szCs w:val="18"/>
              </w:rPr>
            </w:pPr>
            <w:r>
              <w:rPr>
                <w:rFonts w:eastAsia="Calibri" w:cs="Arial" w:ascii="Arial" w:hAnsi="Arial"/>
                <w:color w:val="000000" w:themeColor="text1"/>
                <w:kern w:val="0"/>
                <w:sz w:val="18"/>
                <w:szCs w:val="18"/>
                <w:lang w:eastAsia="en-US" w:bidi="ar-SA"/>
              </w:rPr>
              <w:t xml:space="preserve">USD </w:t>
            </w:r>
            <w:r>
              <w:rPr>
                <w:rFonts w:eastAsia="Calibri" w:cs="Arial" w:ascii="Arial" w:hAnsi="Arial"/>
                <w:color w:val="000000" w:themeColor="text1"/>
                <w:kern w:val="0"/>
                <w:sz w:val="18"/>
                <w:szCs w:val="18"/>
                <w:lang w:eastAsia="en-US" w:bidi="ar-SA"/>
              </w:rPr>
              <w:t>5,119</w:t>
            </w:r>
          </w:p>
        </w:tc>
      </w:tr>
      <w:tr>
        <w:trPr>
          <w:trHeight w:val="408" w:hRule="atLeast"/>
        </w:trPr>
        <w:tc>
          <w:tcPr>
            <w:tcW w:w="6920" w:type="dxa"/>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both"/>
              <w:rPr>
                <w:rFonts w:ascii="Arial" w:hAnsi="Arial" w:eastAsia="Times New Roman" w:cs="Arial"/>
                <w:bCs w:val="false"/>
                <w:color w:val="000000" w:themeColor="text1"/>
                <w:sz w:val="18"/>
                <w:szCs w:val="18"/>
                <w:lang w:val="es-ES_tradnl" w:eastAsia="es-ES"/>
              </w:rPr>
            </w:pPr>
            <w:r>
              <w:rPr>
                <w:rFonts w:eastAsia="Times New Roman" w:cs="Arial" w:ascii="Arial" w:hAnsi="Arial"/>
                <w:b w:val="false"/>
                <w:bCs/>
                <w:color w:val="000000" w:themeColor="text1"/>
                <w:kern w:val="0"/>
                <w:sz w:val="18"/>
                <w:szCs w:val="18"/>
                <w:lang w:val="es-ES_tradnl" w:eastAsia="es-ES" w:bidi="ar-SA"/>
              </w:rPr>
              <w:t>Marzo: 12</w:t>
            </w:r>
          </w:p>
          <w:p>
            <w:pPr>
              <w:pStyle w:val="Normal"/>
              <w:widowControl w:val="false"/>
              <w:suppressAutoHyphens w:val="true"/>
              <w:spacing w:lineRule="auto" w:line="240" w:before="0" w:after="0"/>
              <w:jc w:val="both"/>
              <w:rPr>
                <w:rFonts w:ascii="Arial" w:hAnsi="Arial" w:eastAsia="Times New Roman" w:cs="Arial"/>
                <w:bCs w:val="false"/>
                <w:color w:val="000000" w:themeColor="text1"/>
                <w:sz w:val="18"/>
                <w:szCs w:val="18"/>
                <w:lang w:val="es-ES_tradnl" w:eastAsia="es-ES"/>
              </w:rPr>
            </w:pPr>
            <w:r>
              <w:rPr>
                <w:rFonts w:eastAsia="Times New Roman" w:cs="Arial" w:ascii="Arial" w:hAnsi="Arial"/>
                <w:b w:val="false"/>
                <w:bCs/>
                <w:color w:val="000000" w:themeColor="text1"/>
                <w:kern w:val="0"/>
                <w:sz w:val="18"/>
                <w:szCs w:val="18"/>
                <w:lang w:val="es-ES_tradnl" w:eastAsia="es-ES" w:bidi="ar-SA"/>
              </w:rPr>
              <w:t>Abril: 30</w:t>
            </w:r>
          </w:p>
          <w:p>
            <w:pPr>
              <w:pStyle w:val="Normal"/>
              <w:widowControl w:val="false"/>
              <w:suppressAutoHyphens w:val="true"/>
              <w:spacing w:lineRule="auto" w:line="240" w:before="0" w:after="0"/>
              <w:jc w:val="both"/>
              <w:rPr>
                <w:rFonts w:ascii="Arial" w:hAnsi="Arial" w:eastAsia="Times New Roman" w:cs="Arial"/>
                <w:bCs w:val="false"/>
                <w:color w:val="000000" w:themeColor="text1"/>
                <w:sz w:val="18"/>
                <w:szCs w:val="18"/>
                <w:lang w:val="es-ES_tradnl" w:eastAsia="es-ES"/>
              </w:rPr>
            </w:pPr>
            <w:r>
              <w:rPr>
                <w:rFonts w:eastAsia="Times New Roman" w:cs="Arial" w:ascii="Arial" w:hAnsi="Arial"/>
                <w:b w:val="false"/>
                <w:bCs/>
                <w:color w:val="000000" w:themeColor="text1"/>
                <w:kern w:val="0"/>
                <w:sz w:val="18"/>
                <w:szCs w:val="18"/>
                <w:lang w:val="es-ES_tradnl" w:eastAsia="es-ES" w:bidi="ar-SA"/>
              </w:rPr>
              <w:t>Mayo: 2, 7, 14</w:t>
            </w:r>
          </w:p>
          <w:p>
            <w:pPr>
              <w:pStyle w:val="Normal"/>
              <w:widowControl w:val="false"/>
              <w:suppressAutoHyphens w:val="true"/>
              <w:spacing w:lineRule="auto" w:line="240" w:before="0" w:after="0"/>
              <w:jc w:val="both"/>
              <w:rPr>
                <w:rFonts w:ascii="Arial" w:hAnsi="Arial" w:eastAsia="Times New Roman" w:cs="Arial"/>
                <w:bCs w:val="false"/>
                <w:color w:val="000000" w:themeColor="text1"/>
                <w:sz w:val="18"/>
                <w:szCs w:val="18"/>
                <w:lang w:val="es-ES_tradnl" w:eastAsia="es-ES"/>
              </w:rPr>
            </w:pPr>
            <w:r>
              <w:rPr>
                <w:rFonts w:eastAsia="Times New Roman" w:cs="Arial" w:ascii="Arial" w:hAnsi="Arial"/>
                <w:b w:val="false"/>
                <w:bCs/>
                <w:color w:val="000000" w:themeColor="text1"/>
                <w:kern w:val="0"/>
                <w:sz w:val="18"/>
                <w:szCs w:val="18"/>
                <w:lang w:val="es-ES_tradnl" w:eastAsia="es-ES" w:bidi="ar-SA"/>
              </w:rPr>
              <w:t xml:space="preserve">Agosto: 1, 13, 15, 20, 22, </w:t>
            </w:r>
          </w:p>
          <w:p>
            <w:pPr>
              <w:pStyle w:val="Normal"/>
              <w:widowControl w:val="false"/>
              <w:suppressAutoHyphens w:val="true"/>
              <w:spacing w:lineRule="auto" w:line="240" w:before="0" w:after="0"/>
              <w:jc w:val="both"/>
              <w:rPr>
                <w:rFonts w:ascii="Arial" w:hAnsi="Arial" w:eastAsia="Times New Roman" w:cs="Arial"/>
                <w:bCs w:val="false"/>
                <w:color w:val="000000" w:themeColor="text1"/>
                <w:sz w:val="18"/>
                <w:szCs w:val="18"/>
                <w:lang w:val="es-ES_tradnl" w:eastAsia="es-ES"/>
              </w:rPr>
            </w:pPr>
            <w:r>
              <w:rPr>
                <w:rFonts w:eastAsia="Times New Roman" w:cs="Arial" w:ascii="Arial" w:hAnsi="Arial"/>
                <w:b w:val="false"/>
                <w:bCs/>
                <w:color w:val="000000" w:themeColor="text1"/>
                <w:kern w:val="0"/>
                <w:sz w:val="18"/>
                <w:szCs w:val="18"/>
                <w:lang w:val="es-ES_tradnl" w:eastAsia="es-ES" w:bidi="ar-SA"/>
              </w:rPr>
              <w:t>Septiembre: 3, 5, 10, 12, 19, 24, 26</w:t>
            </w:r>
          </w:p>
          <w:p>
            <w:pPr>
              <w:pStyle w:val="Normal"/>
              <w:widowControl w:val="false"/>
              <w:suppressAutoHyphens w:val="true"/>
              <w:spacing w:lineRule="auto" w:line="240" w:before="0" w:after="0"/>
              <w:jc w:val="both"/>
              <w:rPr>
                <w:rFonts w:ascii="Arial" w:hAnsi="Arial" w:eastAsia="Times New Roman" w:cs="Arial"/>
                <w:bCs w:val="false"/>
                <w:color w:val="000000" w:themeColor="text1"/>
                <w:sz w:val="18"/>
                <w:szCs w:val="18"/>
                <w:lang w:val="es-ES_tradnl" w:eastAsia="es-ES"/>
              </w:rPr>
            </w:pPr>
            <w:r>
              <w:rPr>
                <w:rFonts w:eastAsia="Times New Roman" w:cs="Arial" w:ascii="Arial" w:hAnsi="Arial"/>
                <w:b w:val="false"/>
                <w:bCs/>
                <w:color w:val="000000" w:themeColor="text1"/>
                <w:kern w:val="0"/>
                <w:sz w:val="18"/>
                <w:szCs w:val="18"/>
                <w:lang w:val="es-ES_tradnl" w:eastAsia="es-ES" w:bidi="ar-SA"/>
              </w:rPr>
              <w:t>Octubre: 1, 3, 8, 10, 17, 21, 22, 24, 28, ,29</w:t>
            </w:r>
          </w:p>
        </w:tc>
        <w:tc>
          <w:tcPr>
            <w:tcW w:w="1554"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8"/>
                <w:szCs w:val="18"/>
              </w:rPr>
            </w:pPr>
            <w:r>
              <w:rPr>
                <w:rFonts w:eastAsia="Calibri" w:cs="Arial" w:ascii="Arial" w:hAnsi="Arial"/>
                <w:color w:val="000000" w:themeColor="text1"/>
                <w:kern w:val="0"/>
                <w:sz w:val="18"/>
                <w:szCs w:val="18"/>
                <w:lang w:eastAsia="en-US" w:bidi="ar-SA"/>
              </w:rPr>
              <w:t xml:space="preserve">USD </w:t>
            </w:r>
            <w:r>
              <w:rPr>
                <w:rFonts w:eastAsia="Calibri" w:cs="Arial" w:ascii="Arial" w:hAnsi="Arial"/>
                <w:color w:val="000000" w:themeColor="text1"/>
                <w:kern w:val="0"/>
                <w:sz w:val="18"/>
                <w:szCs w:val="18"/>
                <w:lang w:eastAsia="en-US" w:bidi="ar-SA"/>
              </w:rPr>
              <w:t>7,141</w:t>
            </w:r>
          </w:p>
        </w:tc>
        <w:tc>
          <w:tcPr>
            <w:tcW w:w="1272"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8"/>
                <w:szCs w:val="18"/>
              </w:rPr>
            </w:pPr>
            <w:r>
              <w:rPr>
                <w:rFonts w:eastAsia="Calibri" w:cs="Arial" w:ascii="Arial" w:hAnsi="Arial"/>
                <w:color w:val="000000" w:themeColor="text1"/>
                <w:kern w:val="0"/>
                <w:sz w:val="18"/>
                <w:szCs w:val="18"/>
                <w:lang w:eastAsia="en-US" w:bidi="ar-SA"/>
              </w:rPr>
              <w:t xml:space="preserve">USD </w:t>
            </w:r>
            <w:r>
              <w:rPr>
                <w:rFonts w:eastAsia="Calibri" w:cs="Arial" w:ascii="Arial" w:hAnsi="Arial"/>
                <w:color w:val="000000" w:themeColor="text1"/>
                <w:kern w:val="0"/>
                <w:sz w:val="18"/>
                <w:szCs w:val="18"/>
                <w:lang w:eastAsia="en-US" w:bidi="ar-SA"/>
              </w:rPr>
              <w:t>5,263</w:t>
            </w:r>
          </w:p>
        </w:tc>
      </w:tr>
      <w:tr>
        <w:trPr>
          <w:trHeight w:val="408" w:hRule="atLeast"/>
          <w:cnfStyle w:val="000000100000" w:firstRow="0" w:lastRow="0" w:firstColumn="0" w:lastColumn="0" w:oddVBand="0" w:evenVBand="0" w:oddHBand="1" w:evenHBand="0" w:firstRowFirstColumn="0" w:firstRowLastColumn="0" w:lastRowFirstColumn="0" w:lastRowLastColumn="0"/>
        </w:trPr>
        <w:tc>
          <w:tcPr>
            <w:tcW w:w="6920" w:type="dxa"/>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both"/>
              <w:rPr>
                <w:rFonts w:ascii="Arial" w:hAnsi="Arial" w:eastAsia="Times New Roman" w:cs="Arial"/>
                <w:color w:val="000000" w:themeColor="text1"/>
                <w:sz w:val="18"/>
                <w:szCs w:val="18"/>
                <w:lang w:val="es-ES_tradnl" w:eastAsia="es-ES"/>
              </w:rPr>
            </w:pPr>
            <w:r>
              <w:rPr>
                <w:rFonts w:eastAsia="Times New Roman" w:cs="Arial" w:ascii="Arial" w:hAnsi="Arial"/>
                <w:b w:val="false"/>
                <w:bCs w:val="false"/>
                <w:color w:val="000000" w:themeColor="text1"/>
                <w:kern w:val="0"/>
                <w:sz w:val="18"/>
                <w:szCs w:val="18"/>
                <w:lang w:val="es-ES_tradnl" w:eastAsia="es-ES" w:bidi="ar-SA"/>
              </w:rPr>
              <w:t>Marzo: 18, 19, 21, 25</w:t>
            </w:r>
          </w:p>
          <w:p>
            <w:pPr>
              <w:pStyle w:val="Normal"/>
              <w:widowControl w:val="false"/>
              <w:suppressAutoHyphens w:val="true"/>
              <w:spacing w:lineRule="auto" w:line="240" w:before="0" w:after="0"/>
              <w:jc w:val="both"/>
              <w:rPr>
                <w:rFonts w:ascii="Arial" w:hAnsi="Arial" w:eastAsia="Times New Roman" w:cs="Arial"/>
                <w:color w:val="000000" w:themeColor="text1"/>
                <w:sz w:val="18"/>
                <w:szCs w:val="18"/>
                <w:lang w:val="es-ES_tradnl" w:eastAsia="es-ES"/>
              </w:rPr>
            </w:pPr>
            <w:r>
              <w:rPr>
                <w:rFonts w:eastAsia="Times New Roman" w:cs="Arial" w:ascii="Arial" w:hAnsi="Arial"/>
                <w:b w:val="false"/>
                <w:bCs w:val="false"/>
                <w:color w:val="000000" w:themeColor="text1"/>
                <w:kern w:val="0"/>
                <w:sz w:val="18"/>
                <w:szCs w:val="18"/>
                <w:lang w:val="es-ES_tradnl" w:eastAsia="es-ES" w:bidi="ar-SA"/>
              </w:rPr>
              <w:t>Abril: 4, 8, 9, 11, 15, 16, 18, 23, 25</w:t>
            </w:r>
          </w:p>
          <w:p>
            <w:pPr>
              <w:pStyle w:val="Normal"/>
              <w:widowControl w:val="false"/>
              <w:suppressAutoHyphens w:val="true"/>
              <w:spacing w:lineRule="auto" w:line="240" w:before="0" w:after="0"/>
              <w:jc w:val="both"/>
              <w:rPr>
                <w:rFonts w:ascii="Arial" w:hAnsi="Arial" w:eastAsia="Times New Roman" w:cs="Arial"/>
                <w:color w:val="000000" w:themeColor="text1"/>
                <w:sz w:val="18"/>
                <w:szCs w:val="18"/>
                <w:lang w:val="es-ES_tradnl" w:eastAsia="es-ES"/>
              </w:rPr>
            </w:pPr>
            <w:r>
              <w:rPr>
                <w:rFonts w:eastAsia="Times New Roman" w:cs="Arial" w:ascii="Arial" w:hAnsi="Arial"/>
                <w:b w:val="false"/>
                <w:bCs w:val="false"/>
                <w:color w:val="000000" w:themeColor="text1"/>
                <w:kern w:val="0"/>
                <w:sz w:val="18"/>
                <w:szCs w:val="18"/>
                <w:lang w:val="es-ES_tradnl" w:eastAsia="es-ES" w:bidi="ar-SA"/>
              </w:rPr>
              <w:t xml:space="preserve">Agosto: 6, 8 </w:t>
            </w:r>
          </w:p>
          <w:p>
            <w:pPr>
              <w:pStyle w:val="Normal"/>
              <w:widowControl w:val="false"/>
              <w:suppressAutoHyphens w:val="true"/>
              <w:spacing w:lineRule="auto" w:line="240" w:before="0" w:after="0"/>
              <w:jc w:val="both"/>
              <w:rPr>
                <w:rFonts w:ascii="Arial" w:hAnsi="Arial" w:eastAsia="Times New Roman" w:cs="Arial"/>
                <w:color w:val="000000" w:themeColor="text1"/>
                <w:sz w:val="18"/>
                <w:szCs w:val="18"/>
                <w:lang w:val="es-ES_tradnl" w:eastAsia="es-ES"/>
              </w:rPr>
            </w:pPr>
            <w:r>
              <w:rPr>
                <w:rFonts w:eastAsia="Times New Roman" w:cs="Arial" w:ascii="Arial" w:hAnsi="Arial"/>
                <w:b w:val="false"/>
                <w:bCs w:val="false"/>
                <w:color w:val="000000" w:themeColor="text1"/>
                <w:kern w:val="0"/>
                <w:sz w:val="18"/>
                <w:szCs w:val="18"/>
                <w:lang w:val="es-ES_tradnl" w:eastAsia="es-ES" w:bidi="ar-SA"/>
              </w:rPr>
              <w:t>Octubre: 31</w:t>
            </w:r>
          </w:p>
          <w:p>
            <w:pPr>
              <w:pStyle w:val="Normal"/>
              <w:widowControl w:val="false"/>
              <w:suppressAutoHyphens w:val="true"/>
              <w:spacing w:lineRule="auto" w:line="240" w:before="0" w:after="0"/>
              <w:jc w:val="both"/>
              <w:rPr>
                <w:rFonts w:ascii="Arial" w:hAnsi="Arial" w:eastAsia="Times New Roman" w:cs="Arial"/>
                <w:bCs w:val="false"/>
                <w:color w:val="000000" w:themeColor="text1"/>
                <w:sz w:val="18"/>
                <w:szCs w:val="18"/>
                <w:lang w:val="es-ES_tradnl" w:eastAsia="es-ES"/>
              </w:rPr>
            </w:pPr>
            <w:r>
              <w:rPr>
                <w:rFonts w:eastAsia="Times New Roman" w:cs="Arial" w:ascii="Arial" w:hAnsi="Arial"/>
                <w:b w:val="false"/>
                <w:bCs w:val="false"/>
                <w:color w:val="000000" w:themeColor="text1"/>
                <w:kern w:val="0"/>
                <w:sz w:val="18"/>
                <w:szCs w:val="18"/>
                <w:lang w:val="es-ES_tradnl" w:eastAsia="es-ES" w:bidi="ar-SA"/>
              </w:rPr>
              <w:t xml:space="preserve">Noviembre: 5, 7, 12, 14, 19, 21 </w:t>
            </w:r>
          </w:p>
        </w:tc>
        <w:tc>
          <w:tcPr>
            <w:tcW w:w="1554"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8"/>
                <w:szCs w:val="18"/>
              </w:rPr>
            </w:pPr>
            <w:r>
              <w:rPr>
                <w:rFonts w:eastAsia="Calibri" w:cs="Arial" w:ascii="Arial" w:hAnsi="Arial"/>
                <w:color w:val="000000" w:themeColor="text1"/>
                <w:kern w:val="0"/>
                <w:sz w:val="18"/>
                <w:szCs w:val="18"/>
                <w:lang w:eastAsia="en-US" w:bidi="ar-SA"/>
              </w:rPr>
              <w:t xml:space="preserve">USD </w:t>
            </w:r>
            <w:r>
              <w:rPr>
                <w:rFonts w:eastAsia="Calibri" w:cs="Arial" w:ascii="Arial" w:hAnsi="Arial"/>
                <w:color w:val="000000" w:themeColor="text1"/>
                <w:kern w:val="0"/>
                <w:sz w:val="18"/>
                <w:szCs w:val="18"/>
                <w:lang w:eastAsia="en-US" w:bidi="ar-SA"/>
              </w:rPr>
              <w:t>7,507</w:t>
            </w:r>
          </w:p>
        </w:tc>
        <w:tc>
          <w:tcPr>
            <w:tcW w:w="1272" w:type="dxa"/>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themeColor="text1"/>
                <w:sz w:val="18"/>
                <w:szCs w:val="18"/>
              </w:rPr>
            </w:pPr>
            <w:r>
              <w:rPr>
                <w:rFonts w:eastAsia="Calibri" w:cs="Arial" w:ascii="Arial" w:hAnsi="Arial"/>
                <w:color w:val="000000" w:themeColor="text1"/>
                <w:kern w:val="0"/>
                <w:sz w:val="18"/>
                <w:szCs w:val="18"/>
                <w:lang w:eastAsia="en-US" w:bidi="ar-SA"/>
              </w:rPr>
              <w:t xml:space="preserve">USD </w:t>
            </w:r>
            <w:r>
              <w:rPr>
                <w:rFonts w:eastAsia="Calibri" w:cs="Arial" w:ascii="Arial" w:hAnsi="Arial"/>
                <w:color w:val="000000" w:themeColor="text1"/>
                <w:kern w:val="0"/>
                <w:sz w:val="18"/>
                <w:szCs w:val="18"/>
                <w:lang w:eastAsia="en-US" w:bidi="ar-SA"/>
              </w:rPr>
              <w:t>5,550</w:t>
            </w:r>
          </w:p>
        </w:tc>
      </w:tr>
      <w:tr>
        <w:trPr>
          <w:trHeight w:val="408" w:hRule="atLeast"/>
        </w:trPr>
        <w:tc>
          <w:tcPr>
            <w:tcW w:w="6920" w:type="dxa"/>
            <w:cnfStyle w:val="001000000000" w:firstRow="0" w:lastRow="0" w:firstColumn="1" w:lastColumn="0" w:oddVBand="0" w:evenVBand="0" w:oddHBand="0" w:evenHBand="0" w:firstRowFirstColumn="0" w:firstRowLastColumn="0" w:lastRowFirstColumn="0" w:lastRowLastColumn="0"/>
            <w:tcBorders>
              <w:top w:val="single" w:sz="4" w:space="0" w:color="F79646"/>
              <w:left w:val="single" w:sz="4" w:space="0" w:color="F79646"/>
              <w:bottom w:val="single" w:sz="4" w:space="0" w:color="F79646"/>
              <w:right w:val="single" w:sz="4" w:space="0" w:color="F79646"/>
            </w:tcBorders>
            <w:shd w:color="auto" w:fill="FFFFFF" w:themeFill="background1" w:val="clear"/>
            <w:vAlign w:val="center"/>
          </w:tcPr>
          <w:p>
            <w:pPr>
              <w:pStyle w:val="Normal"/>
              <w:widowControl w:val="false"/>
              <w:suppressAutoHyphens w:val="true"/>
              <w:spacing w:lineRule="auto" w:line="240" w:before="0" w:after="0"/>
              <w:jc w:val="both"/>
              <w:rPr>
                <w:rFonts w:ascii="Arial" w:hAnsi="Arial" w:eastAsia="Times New Roman" w:cs="Arial"/>
                <w:color w:val="000000" w:themeColor="text1"/>
                <w:sz w:val="18"/>
                <w:szCs w:val="18"/>
                <w:lang w:val="es-ES_tradnl" w:eastAsia="es-ES"/>
              </w:rPr>
            </w:pPr>
            <w:r>
              <w:rPr>
                <w:rFonts w:eastAsia="Times New Roman" w:cs="Arial" w:ascii="Arial" w:hAnsi="Arial"/>
                <w:b w:val="false"/>
                <w:bCs w:val="false"/>
                <w:color w:val="000000" w:themeColor="text1"/>
                <w:kern w:val="0"/>
                <w:sz w:val="18"/>
                <w:szCs w:val="18"/>
                <w:lang w:val="es-ES_tradnl" w:eastAsia="es-ES" w:bidi="ar-SA"/>
              </w:rPr>
              <w:t xml:space="preserve">Marzo: 26, 28 </w:t>
            </w:r>
          </w:p>
          <w:p>
            <w:pPr>
              <w:pStyle w:val="Normal"/>
              <w:widowControl w:val="false"/>
              <w:suppressAutoHyphens w:val="true"/>
              <w:spacing w:lineRule="auto" w:line="240" w:before="0" w:after="0"/>
              <w:jc w:val="both"/>
              <w:rPr>
                <w:rFonts w:ascii="Arial" w:hAnsi="Arial" w:eastAsia="Times New Roman" w:cs="Arial"/>
                <w:color w:val="000000" w:themeColor="text1"/>
                <w:sz w:val="18"/>
                <w:szCs w:val="18"/>
                <w:lang w:val="es-ES_tradnl" w:eastAsia="es-ES"/>
              </w:rPr>
            </w:pPr>
            <w:r>
              <w:rPr>
                <w:rFonts w:eastAsia="Times New Roman" w:cs="Arial" w:ascii="Arial" w:hAnsi="Arial"/>
                <w:b w:val="false"/>
                <w:bCs w:val="false"/>
                <w:color w:val="000000" w:themeColor="text1"/>
                <w:kern w:val="0"/>
                <w:sz w:val="18"/>
                <w:szCs w:val="18"/>
                <w:lang w:val="es-ES_tradnl" w:eastAsia="es-ES" w:bidi="ar-SA"/>
              </w:rPr>
              <w:t>Abril: 1,2</w:t>
            </w:r>
          </w:p>
        </w:tc>
        <w:tc>
          <w:tcPr>
            <w:tcW w:w="1554" w:type="dxa"/>
            <w:tcBorders>
              <w:top w:val="single" w:sz="4" w:space="0" w:color="F79646"/>
              <w:left w:val="single" w:sz="4" w:space="0" w:color="F79646"/>
              <w:bottom w:val="single" w:sz="4" w:space="0" w:color="F79646"/>
              <w:right w:val="single" w:sz="4" w:space="0" w:color="F79646"/>
            </w:tcBorders>
            <w:shd w:color="auto" w:fill="FFFFFF" w:themeFill="background1" w:val="clea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8"/>
                <w:szCs w:val="18"/>
              </w:rPr>
            </w:pPr>
            <w:r>
              <w:rPr>
                <w:rFonts w:eastAsia="Calibri" w:cs="Arial" w:ascii="Arial" w:hAnsi="Arial"/>
                <w:color w:val="000000" w:themeColor="text1"/>
                <w:kern w:val="0"/>
                <w:sz w:val="18"/>
                <w:szCs w:val="18"/>
                <w:lang w:eastAsia="en-US" w:bidi="ar-SA"/>
              </w:rPr>
              <w:t xml:space="preserve"> </w:t>
            </w:r>
            <w:r>
              <w:rPr>
                <w:rFonts w:eastAsia="Calibri" w:cs="Arial" w:ascii="Arial" w:hAnsi="Arial"/>
                <w:color w:val="000000" w:themeColor="text1"/>
                <w:kern w:val="0"/>
                <w:sz w:val="18"/>
                <w:szCs w:val="18"/>
                <w:lang w:eastAsia="en-US" w:bidi="ar-SA"/>
              </w:rPr>
              <w:t xml:space="preserve">USD </w:t>
            </w:r>
            <w:r>
              <w:rPr>
                <w:rFonts w:eastAsia="Calibri" w:cs="Arial" w:ascii="Arial" w:hAnsi="Arial"/>
                <w:color w:val="000000" w:themeColor="text1"/>
                <w:kern w:val="0"/>
                <w:sz w:val="18"/>
                <w:szCs w:val="18"/>
                <w:lang w:eastAsia="en-US" w:bidi="ar-SA"/>
              </w:rPr>
              <w:t>7,722</w:t>
            </w:r>
            <w:r>
              <w:rPr>
                <w:rFonts w:eastAsia="Calibri" w:cs="Arial" w:ascii="Arial" w:hAnsi="Arial"/>
                <w:color w:val="000000" w:themeColor="text1"/>
                <w:kern w:val="0"/>
                <w:sz w:val="18"/>
                <w:szCs w:val="18"/>
                <w:lang w:eastAsia="en-US" w:bidi="ar-SA"/>
              </w:rPr>
              <w:t xml:space="preserve"> </w:t>
            </w:r>
          </w:p>
        </w:tc>
        <w:tc>
          <w:tcPr>
            <w:tcW w:w="1272" w:type="dxa"/>
            <w:tcBorders>
              <w:top w:val="single" w:sz="4" w:space="0" w:color="F79646"/>
              <w:left w:val="single" w:sz="4" w:space="0" w:color="F79646"/>
              <w:bottom w:val="single" w:sz="4" w:space="0" w:color="F79646"/>
              <w:right w:val="single" w:sz="4" w:space="0" w:color="F79646"/>
            </w:tcBorders>
            <w:shd w:color="auto" w:fill="FFFFFF" w:themeFill="background1" w:val="clea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18"/>
                <w:szCs w:val="18"/>
              </w:rPr>
            </w:pPr>
            <w:r>
              <w:rPr>
                <w:rFonts w:eastAsia="Calibri" w:cs="Arial" w:ascii="Arial" w:hAnsi="Arial"/>
                <w:color w:val="000000" w:themeColor="text1"/>
                <w:kern w:val="0"/>
                <w:sz w:val="18"/>
                <w:szCs w:val="18"/>
                <w:lang w:eastAsia="en-US" w:bidi="ar-SA"/>
              </w:rPr>
              <w:t xml:space="preserve"> </w:t>
            </w:r>
            <w:r>
              <w:rPr>
                <w:rFonts w:eastAsia="Calibri" w:cs="Arial" w:ascii="Arial" w:hAnsi="Arial"/>
                <w:color w:val="000000" w:themeColor="text1"/>
                <w:kern w:val="0"/>
                <w:sz w:val="18"/>
                <w:szCs w:val="18"/>
                <w:lang w:eastAsia="en-US" w:bidi="ar-SA"/>
              </w:rPr>
              <w:t xml:space="preserve">USD </w:t>
            </w:r>
            <w:r>
              <w:rPr>
                <w:rFonts w:eastAsia="Calibri" w:cs="Arial" w:ascii="Arial" w:hAnsi="Arial"/>
                <w:color w:val="000000" w:themeColor="text1"/>
                <w:kern w:val="0"/>
                <w:sz w:val="18"/>
                <w:szCs w:val="18"/>
                <w:lang w:eastAsia="en-US" w:bidi="ar-SA"/>
              </w:rPr>
              <w:t>5,693</w:t>
            </w:r>
            <w:r>
              <w:rPr>
                <w:rFonts w:eastAsia="Calibri" w:cs="Arial" w:ascii="Arial" w:hAnsi="Arial"/>
                <w:color w:val="000000" w:themeColor="text1"/>
                <w:kern w:val="0"/>
                <w:sz w:val="18"/>
                <w:szCs w:val="18"/>
                <w:lang w:eastAsia="en-US" w:bidi="ar-SA"/>
              </w:rPr>
              <w:t xml:space="preserve"> </w:t>
            </w:r>
          </w:p>
        </w:tc>
      </w:tr>
    </w:tbl>
    <w:p>
      <w:pPr>
        <w:pStyle w:val="Normal"/>
        <w:spacing w:lineRule="auto" w:line="240" w:before="0" w:after="0"/>
        <w:jc w:val="both"/>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Standard"/>
        <w:spacing w:lineRule="auto" w:line="240" w:before="0" w:after="0"/>
        <w:jc w:val="both"/>
        <w:rPr/>
      </w:pPr>
      <w:r>
        <w:rPr>
          <w:rFonts w:eastAsia="Times New Roman" w:cs="Arial" w:ascii="Arial" w:hAnsi="Arial"/>
          <w:b/>
          <w:color w:val="E36C0A"/>
          <w:sz w:val="18"/>
          <w:szCs w:val="18"/>
          <w:u w:val="single"/>
          <w:lang w:eastAsia="es-ES"/>
        </w:rPr>
        <w:t>EL PRECIO INCLUYE</w:t>
      </w:r>
    </w:p>
    <w:p>
      <w:pPr>
        <w:pStyle w:val="Standard"/>
        <w:spacing w:lineRule="auto" w:line="240" w:before="0" w:after="0"/>
        <w:jc w:val="both"/>
        <w:rPr>
          <w:rFonts w:ascii="Arial" w:hAnsi="Arial" w:eastAsia="Times New Roman" w:cs="Arial"/>
          <w:b/>
          <w:b/>
          <w:color w:val="FF0000"/>
          <w:sz w:val="18"/>
          <w:szCs w:val="18"/>
          <w:u w:val="single"/>
          <w:lang w:eastAsia="es-ES"/>
        </w:rPr>
      </w:pPr>
      <w:r>
        <w:rPr>
          <w:rFonts w:eastAsia="Times New Roman" w:cs="Arial" w:ascii="Arial" w:hAnsi="Arial"/>
          <w:b/>
          <w:color w:val="FF0000"/>
          <w:sz w:val="18"/>
          <w:szCs w:val="18"/>
          <w:u w:val="single"/>
          <w:lang w:eastAsia="es-ES"/>
        </w:rPr>
      </w:r>
    </w:p>
    <w:p>
      <w:pPr>
        <w:pStyle w:val="NoSpacing"/>
        <w:widowControl w:val="false"/>
        <w:numPr>
          <w:ilvl w:val="0"/>
          <w:numId w:val="1"/>
        </w:numPr>
        <w:spacing w:lineRule="exact" w:line="240"/>
        <w:ind w:left="714" w:hanging="357"/>
        <w:jc w:val="both"/>
        <w:textAlignment w:val="baseline"/>
        <w:rPr>
          <w:rFonts w:ascii="Arial" w:hAnsi="Arial" w:cs="Arial"/>
          <w:color w:val="000000" w:themeColor="text1"/>
          <w:sz w:val="18"/>
          <w:szCs w:val="18"/>
          <w:lang w:val="es-MX" w:eastAsia="es-ES"/>
        </w:rPr>
      </w:pPr>
      <w:r>
        <w:rPr>
          <w:rFonts w:cs="Arial" w:ascii="Arial" w:hAnsi="Arial"/>
          <w:color w:val="000000" w:themeColor="text1"/>
          <w:sz w:val="18"/>
          <w:szCs w:val="18"/>
          <w:lang w:val="es-ES" w:eastAsia="es-ES"/>
        </w:rPr>
        <w:t>Traslado aeropuerto – hotel – aeropuerto en servicio regular c</w:t>
      </w:r>
      <w:r>
        <w:rPr>
          <w:rFonts w:cs="Arial" w:ascii="Arial" w:hAnsi="Arial"/>
          <w:color w:val="000000" w:themeColor="text1"/>
          <w:sz w:val="18"/>
          <w:szCs w:val="18"/>
          <w:lang w:val="es-MX" w:eastAsia="es-ES"/>
        </w:rPr>
        <w:t>on asistente de habla española. En algunos casos no es directo.</w:t>
      </w:r>
    </w:p>
    <w:p>
      <w:pPr>
        <w:pStyle w:val="NoSpacing"/>
        <w:widowControl w:val="false"/>
        <w:numPr>
          <w:ilvl w:val="0"/>
          <w:numId w:val="1"/>
        </w:numPr>
        <w:spacing w:lineRule="exact" w:line="240"/>
        <w:ind w:left="714" w:hanging="357"/>
        <w:jc w:val="both"/>
        <w:textAlignment w:val="baseline"/>
        <w:rPr>
          <w:color w:val="000000" w:themeColor="text1"/>
          <w:lang w:val="es-ES"/>
        </w:rPr>
      </w:pPr>
      <w:r>
        <w:rPr>
          <w:rFonts w:cs="Arial" w:ascii="Arial" w:hAnsi="Arial"/>
          <w:color w:val="000000" w:themeColor="text1"/>
          <w:sz w:val="18"/>
          <w:szCs w:val="18"/>
          <w:lang w:val="es-ES" w:eastAsia="es-ES"/>
        </w:rPr>
        <w:t>3 noches de alojamiento en Kioto, Hiroshima, Koyasan, Kawayu Onsen</w:t>
      </w:r>
      <w:r>
        <w:rPr>
          <w:color w:val="000000" w:themeColor="text1"/>
          <w:lang w:val="es-ES"/>
        </w:rPr>
        <w:t xml:space="preserve">, </w:t>
      </w:r>
      <w:r>
        <w:rPr>
          <w:rFonts w:cs="Arial" w:ascii="Arial" w:hAnsi="Arial"/>
          <w:color w:val="000000" w:themeColor="text1"/>
          <w:sz w:val="18"/>
          <w:szCs w:val="18"/>
          <w:lang w:val="es-ES" w:eastAsia="es-ES"/>
        </w:rPr>
        <w:t>Osaka, Kanazawa, Takayama, Tokio</w:t>
      </w:r>
    </w:p>
    <w:p>
      <w:pPr>
        <w:pStyle w:val="NoSpacing"/>
        <w:widowControl w:val="false"/>
        <w:numPr>
          <w:ilvl w:val="0"/>
          <w:numId w:val="1"/>
        </w:numPr>
        <w:spacing w:lineRule="exact" w:line="240"/>
        <w:ind w:left="714" w:hanging="357"/>
        <w:jc w:val="both"/>
        <w:textAlignment w:val="baseline"/>
        <w:rPr>
          <w:color w:val="000000" w:themeColor="text1"/>
          <w:lang w:val="es-ES"/>
        </w:rPr>
      </w:pPr>
      <w:r>
        <w:rPr>
          <w:rFonts w:cs="Arial" w:ascii="Arial" w:hAnsi="Arial"/>
          <w:color w:val="000000" w:themeColor="text1"/>
          <w:sz w:val="18"/>
          <w:szCs w:val="18"/>
          <w:lang w:val="es-ES" w:eastAsia="es-ES"/>
        </w:rPr>
        <w:t xml:space="preserve">Desayunos diarios, 6 almuerzos, 1 box lunch y 3 cenas  </w:t>
      </w:r>
    </w:p>
    <w:p>
      <w:pPr>
        <w:pStyle w:val="NoSpacing"/>
        <w:widowControl w:val="false"/>
        <w:numPr>
          <w:ilvl w:val="1"/>
          <w:numId w:val="1"/>
        </w:numPr>
        <w:spacing w:lineRule="exact" w:line="240"/>
        <w:jc w:val="both"/>
        <w:textAlignment w:val="baseline"/>
        <w:rPr>
          <w:rFonts w:ascii="Arial" w:hAnsi="Arial" w:cs="Arial"/>
          <w:color w:val="000000" w:themeColor="text1"/>
          <w:sz w:val="18"/>
          <w:szCs w:val="18"/>
          <w:lang w:val="es-ES"/>
        </w:rPr>
      </w:pPr>
      <w:r>
        <w:rPr>
          <w:rFonts w:cs="Arial" w:ascii="Arial" w:hAnsi="Arial"/>
          <w:color w:val="000000" w:themeColor="text1"/>
          <w:sz w:val="18"/>
          <w:szCs w:val="18"/>
          <w:lang w:val="es-MX"/>
        </w:rPr>
        <w:t>Desayunos: Son de tipo japonés en el shukubo (Koyasan) y en el ryokan (Kawayu Onsen).</w:t>
      </w:r>
    </w:p>
    <w:p>
      <w:pPr>
        <w:pStyle w:val="NoSpacing"/>
        <w:widowControl w:val="false"/>
        <w:numPr>
          <w:ilvl w:val="1"/>
          <w:numId w:val="1"/>
        </w:numPr>
        <w:spacing w:lineRule="exact" w:line="240"/>
        <w:jc w:val="both"/>
        <w:textAlignment w:val="baseline"/>
        <w:rPr>
          <w:rFonts w:ascii="Arial" w:hAnsi="Arial" w:cs="Arial"/>
          <w:color w:val="000000" w:themeColor="text1"/>
          <w:sz w:val="18"/>
          <w:szCs w:val="18"/>
          <w:lang w:val="es-ES"/>
        </w:rPr>
      </w:pPr>
      <w:r>
        <w:rPr>
          <w:rFonts w:cs="Arial" w:ascii="Arial" w:hAnsi="Arial"/>
          <w:color w:val="000000" w:themeColor="text1"/>
          <w:sz w:val="18"/>
          <w:szCs w:val="18"/>
          <w:lang w:val="es-MX"/>
        </w:rPr>
        <w:t>Cenas: En Koyasan es comida vegetariana budista y en Kawayu Onsen es comida típica japonesa</w:t>
      </w:r>
    </w:p>
    <w:p>
      <w:pPr>
        <w:pStyle w:val="NoSpacing"/>
        <w:widowControl w:val="false"/>
        <w:numPr>
          <w:ilvl w:val="0"/>
          <w:numId w:val="1"/>
        </w:numPr>
        <w:spacing w:lineRule="exact" w:line="240"/>
        <w:ind w:left="714" w:hanging="357"/>
        <w:jc w:val="both"/>
        <w:textAlignment w:val="baseline"/>
        <w:rPr>
          <w:color w:val="000000" w:themeColor="text1"/>
          <w:lang w:val="es-ES"/>
        </w:rPr>
      </w:pPr>
      <w:r>
        <w:rPr>
          <w:rFonts w:cs="Arial" w:ascii="Arial" w:hAnsi="Arial"/>
          <w:color w:val="000000" w:themeColor="text1"/>
          <w:sz w:val="18"/>
          <w:szCs w:val="18"/>
          <w:lang w:val="es-ES" w:eastAsia="es-ES"/>
        </w:rPr>
        <w:t>Visitas y entradas indicadas en el Itinerario</w:t>
      </w:r>
    </w:p>
    <w:p>
      <w:pPr>
        <w:pStyle w:val="NoSpacing"/>
        <w:widowControl w:val="false"/>
        <w:numPr>
          <w:ilvl w:val="1"/>
          <w:numId w:val="1"/>
        </w:numPr>
        <w:spacing w:lineRule="exact" w:line="240"/>
        <w:jc w:val="both"/>
        <w:textAlignment w:val="baseline"/>
        <w:rPr>
          <w:rFonts w:ascii="Arial" w:hAnsi="Arial" w:cs="Arial"/>
          <w:color w:val="000000" w:themeColor="text1"/>
          <w:sz w:val="18"/>
          <w:szCs w:val="18"/>
          <w:lang w:val="es-MX"/>
        </w:rPr>
      </w:pPr>
      <w:r>
        <w:rPr>
          <w:rFonts w:cs="Arial" w:ascii="Arial" w:hAnsi="Arial"/>
          <w:color w:val="000000" w:themeColor="text1"/>
          <w:sz w:val="18"/>
          <w:szCs w:val="18"/>
          <w:lang w:val="es-MX"/>
        </w:rPr>
        <w:t>A partir de 10 personas se opera el circuito en taxi, coche privado, mini-bus o autocar, con guía de habla española según el itinerario, incluyendo las entradas a los monumentos especificados con la marca (*) en el itinerario. *Menos de 10 personas operan en transporte público.</w:t>
      </w:r>
    </w:p>
    <w:p>
      <w:pPr>
        <w:pStyle w:val="ListParagraph"/>
        <w:numPr>
          <w:ilvl w:val="0"/>
          <w:numId w:val="1"/>
        </w:numPr>
        <w:suppressAutoHyphens w:val="false"/>
        <w:spacing w:lineRule="auto" w:line="240" w:before="0" w:after="0"/>
        <w:contextualSpacing/>
        <w:jc w:val="both"/>
        <w:rPr>
          <w:rFonts w:ascii="Arial" w:hAnsi="Arial" w:eastAsia="Times New Roman" w:cs="Arial"/>
          <w:b/>
          <w:b/>
          <w:color w:val="000000" w:themeColor="text1"/>
          <w:sz w:val="18"/>
          <w:szCs w:val="18"/>
          <w:u w:val="single"/>
          <w:lang w:eastAsia="es-ES"/>
        </w:rPr>
      </w:pPr>
      <w:r>
        <w:rPr>
          <w:rFonts w:cs="Arial" w:ascii="Arial" w:hAnsi="Arial"/>
          <w:color w:val="000000" w:themeColor="text1"/>
          <w:sz w:val="18"/>
          <w:szCs w:val="18"/>
        </w:rPr>
        <w:t>Guía/asistente de habla española durante todo el circuito, excepto los días libres</w:t>
      </w:r>
    </w:p>
    <w:p>
      <w:pPr>
        <w:pStyle w:val="NoSpacing"/>
        <w:widowControl w:val="false"/>
        <w:numPr>
          <w:ilvl w:val="0"/>
          <w:numId w:val="1"/>
        </w:numPr>
        <w:spacing w:lineRule="exact" w:line="240"/>
        <w:ind w:left="714" w:hanging="357"/>
        <w:jc w:val="both"/>
        <w:textAlignment w:val="baseline"/>
        <w:rPr>
          <w:color w:val="000000" w:themeColor="text1"/>
          <w:lang w:val="es-MX"/>
        </w:rPr>
      </w:pPr>
      <w:r>
        <w:rPr>
          <w:rFonts w:cs="Arial" w:ascii="Arial" w:hAnsi="Arial"/>
          <w:color w:val="000000" w:themeColor="text1"/>
          <w:sz w:val="18"/>
          <w:szCs w:val="18"/>
          <w:lang w:val="es-MX"/>
        </w:rPr>
        <w:t>Llevar 1 maleta de tamaño normal (hasta 23 kg) por persona incluida. Suplemento de JPY 4.000 a partir de la 2ª maleta por persona / envío (pago directo en Japón).</w:t>
      </w:r>
    </w:p>
    <w:p>
      <w:pPr>
        <w:pStyle w:val="ListParagraph"/>
        <w:numPr>
          <w:ilvl w:val="0"/>
          <w:numId w:val="1"/>
        </w:numPr>
        <w:suppressAutoHyphens w:val="false"/>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Los impuestos necesarios, peaje de autopistas y aparcamientos están incluidos.</w:t>
      </w:r>
    </w:p>
    <w:p>
      <w:pPr>
        <w:pStyle w:val="NoSpacing"/>
        <w:widowControl w:val="false"/>
        <w:numPr>
          <w:ilvl w:val="0"/>
          <w:numId w:val="1"/>
        </w:numPr>
        <w:spacing w:lineRule="exact" w:line="240"/>
        <w:ind w:left="714" w:hanging="357"/>
        <w:jc w:val="both"/>
        <w:textAlignment w:val="baseline"/>
        <w:rPr>
          <w:color w:val="000000" w:themeColor="text1"/>
        </w:rPr>
      </w:pPr>
      <w:r>
        <w:rPr>
          <w:rFonts w:cs="Arial" w:ascii="Arial" w:hAnsi="Arial"/>
          <w:color w:val="000000" w:themeColor="text1"/>
          <w:sz w:val="18"/>
          <w:szCs w:val="18"/>
          <w:lang w:val="es-ES" w:eastAsia="es-ES"/>
        </w:rPr>
        <w:t>Seguro de viajero.</w:t>
      </w:r>
    </w:p>
    <w:p>
      <w:pPr>
        <w:pStyle w:val="NoSpacing"/>
        <w:widowControl w:val="false"/>
        <w:numPr>
          <w:ilvl w:val="0"/>
          <w:numId w:val="1"/>
        </w:numPr>
        <w:spacing w:lineRule="exact" w:line="240"/>
        <w:ind w:left="714" w:hanging="357"/>
        <w:jc w:val="both"/>
        <w:textAlignment w:val="baseline"/>
        <w:rPr>
          <w:color w:val="000000" w:themeColor="text1"/>
          <w:lang w:val="es-ES"/>
        </w:rPr>
      </w:pPr>
      <w:r>
        <w:rPr>
          <w:rFonts w:cs="Arial" w:ascii="Arial" w:hAnsi="Arial"/>
          <w:color w:val="000000" w:themeColor="text1"/>
          <w:sz w:val="18"/>
          <w:szCs w:val="18"/>
          <w:lang w:val="es-ES" w:eastAsia="es-ES"/>
        </w:rPr>
        <w:t>Asistencia en español 24 hrs. todos los días del año</w:t>
      </w:r>
    </w:p>
    <w:p>
      <w:pPr>
        <w:pStyle w:val="NoSpacing"/>
        <w:widowControl w:val="false"/>
        <w:jc w:val="both"/>
        <w:rPr>
          <w:rFonts w:ascii="Arial" w:hAnsi="Arial" w:cs="Arial"/>
          <w:b/>
          <w:b/>
          <w:color w:val="E36C0A"/>
          <w:sz w:val="18"/>
          <w:szCs w:val="18"/>
          <w:u w:val="single"/>
          <w:lang w:val="es-MX" w:eastAsia="es-ES"/>
        </w:rPr>
      </w:pPr>
      <w:r>
        <w:rPr>
          <w:rFonts w:cs="Arial" w:ascii="Arial" w:hAnsi="Arial"/>
          <w:b/>
          <w:color w:val="E36C0A"/>
          <w:sz w:val="18"/>
          <w:szCs w:val="18"/>
          <w:u w:val="single"/>
          <w:lang w:val="es-MX" w:eastAsia="es-ES"/>
        </w:rPr>
      </w:r>
    </w:p>
    <w:p>
      <w:pPr>
        <w:pStyle w:val="NoSpacing"/>
        <w:widowControl w:val="false"/>
        <w:jc w:val="both"/>
        <w:rPr/>
      </w:pPr>
      <w:r>
        <w:rPr>
          <w:rFonts w:cs="Arial" w:ascii="Arial" w:hAnsi="Arial"/>
          <w:b/>
          <w:color w:val="E36C0A"/>
          <w:sz w:val="18"/>
          <w:szCs w:val="18"/>
          <w:u w:val="single"/>
          <w:lang w:val="es-MX" w:eastAsia="es-ES"/>
        </w:rPr>
        <w:t>EL PRECIO NO INCLUYE</w:t>
      </w:r>
    </w:p>
    <w:p>
      <w:pPr>
        <w:pStyle w:val="NoSpacing"/>
        <w:widowControl w:val="false"/>
        <w:ind w:left="360" w:hanging="0"/>
        <w:jc w:val="both"/>
        <w:rPr>
          <w:rFonts w:ascii="Arial" w:hAnsi="Arial" w:cs="Arial"/>
          <w:b/>
          <w:b/>
          <w:color w:val="FF0000"/>
          <w:sz w:val="18"/>
          <w:szCs w:val="18"/>
          <w:u w:val="single"/>
          <w:lang w:val="es-ES" w:eastAsia="es-ES"/>
        </w:rPr>
      </w:pPr>
      <w:r>
        <w:rPr>
          <w:rFonts w:cs="Arial" w:ascii="Arial" w:hAnsi="Arial"/>
          <w:b/>
          <w:color w:val="FF0000"/>
          <w:sz w:val="18"/>
          <w:szCs w:val="18"/>
          <w:u w:val="single"/>
          <w:lang w:val="es-ES" w:eastAsia="es-ES"/>
        </w:rPr>
      </w:r>
    </w:p>
    <w:p>
      <w:pPr>
        <w:pStyle w:val="NoSpacing"/>
        <w:widowControl w:val="false"/>
        <w:numPr>
          <w:ilvl w:val="0"/>
          <w:numId w:val="2"/>
        </w:numPr>
        <w:jc w:val="both"/>
        <w:textAlignment w:val="baseline"/>
        <w:rPr>
          <w:color w:val="000000" w:themeColor="text1"/>
          <w:lang w:val="es-ES"/>
        </w:rPr>
      </w:pPr>
      <w:r>
        <w:rPr>
          <w:rFonts w:cs="Arial" w:ascii="Arial" w:hAnsi="Arial"/>
          <w:color w:val="000000" w:themeColor="text1"/>
          <w:sz w:val="18"/>
          <w:szCs w:val="18"/>
          <w:lang w:val="es-ES" w:eastAsia="es-ES"/>
        </w:rPr>
        <w:t>Boleto de avión México – Kioto – México</w:t>
      </w:r>
    </w:p>
    <w:p>
      <w:pPr>
        <w:pStyle w:val="NoSpacing"/>
        <w:widowControl w:val="false"/>
        <w:numPr>
          <w:ilvl w:val="0"/>
          <w:numId w:val="2"/>
        </w:numPr>
        <w:jc w:val="both"/>
        <w:textAlignment w:val="baseline"/>
        <w:rPr>
          <w:color w:val="000000" w:themeColor="text1"/>
        </w:rPr>
      </w:pPr>
      <w:r>
        <w:rPr>
          <w:rFonts w:cs="Arial" w:ascii="Arial" w:hAnsi="Arial"/>
          <w:color w:val="000000" w:themeColor="text1"/>
          <w:sz w:val="18"/>
          <w:szCs w:val="18"/>
          <w:lang w:val="es-ES" w:eastAsia="es-ES"/>
        </w:rPr>
        <w:t>Gastos personales</w:t>
      </w:r>
    </w:p>
    <w:p>
      <w:pPr>
        <w:pStyle w:val="NoSpacing"/>
        <w:widowControl w:val="false"/>
        <w:numPr>
          <w:ilvl w:val="0"/>
          <w:numId w:val="2"/>
        </w:numPr>
        <w:jc w:val="both"/>
        <w:textAlignment w:val="baseline"/>
        <w:rPr>
          <w:color w:val="000000" w:themeColor="text1"/>
        </w:rPr>
      </w:pPr>
      <w:r>
        <w:rPr>
          <w:rFonts w:cs="Arial" w:ascii="Arial" w:hAnsi="Arial"/>
          <w:color w:val="000000" w:themeColor="text1"/>
          <w:sz w:val="18"/>
          <w:szCs w:val="18"/>
          <w:lang w:val="es-ES" w:eastAsia="es-ES"/>
        </w:rPr>
        <w:t>Propinas NO INCLUIDAS</w:t>
      </w:r>
    </w:p>
    <w:p>
      <w:pPr>
        <w:pStyle w:val="NoSpacing"/>
        <w:widowControl w:val="false"/>
        <w:numPr>
          <w:ilvl w:val="0"/>
          <w:numId w:val="2"/>
        </w:numPr>
        <w:jc w:val="both"/>
        <w:textAlignment w:val="baseline"/>
        <w:rPr>
          <w:color w:val="000000" w:themeColor="text1"/>
          <w:lang w:val="es-ES"/>
        </w:rPr>
      </w:pPr>
      <w:r>
        <w:rPr>
          <w:rFonts w:cs="Arial" w:ascii="Arial" w:hAnsi="Arial"/>
          <w:color w:val="000000" w:themeColor="text1"/>
          <w:sz w:val="18"/>
          <w:szCs w:val="18"/>
          <w:lang w:val="es-ES" w:eastAsia="es-ES"/>
        </w:rPr>
        <w:t xml:space="preserve">Visitas marcadas como </w:t>
      </w:r>
      <w:r>
        <w:rPr>
          <w:rFonts w:cs="Arial" w:ascii="Arial" w:hAnsi="Arial"/>
          <w:i/>
          <w:color w:val="000000" w:themeColor="text1"/>
          <w:sz w:val="18"/>
          <w:szCs w:val="18"/>
          <w:u w:val="single"/>
          <w:lang w:val="es-ES" w:eastAsia="es-ES"/>
        </w:rPr>
        <w:t>OPCIONALES</w:t>
      </w:r>
      <w:r>
        <w:rPr>
          <w:rFonts w:cs="Arial" w:ascii="Arial" w:hAnsi="Arial"/>
          <w:color w:val="000000" w:themeColor="text1"/>
          <w:sz w:val="18"/>
          <w:szCs w:val="18"/>
          <w:lang w:val="es-ES" w:eastAsia="es-ES"/>
        </w:rPr>
        <w:t xml:space="preserve"> o </w:t>
      </w:r>
      <w:r>
        <w:rPr>
          <w:rFonts w:cs="Arial" w:ascii="Arial" w:hAnsi="Arial"/>
          <w:i/>
          <w:color w:val="000000" w:themeColor="text1"/>
          <w:sz w:val="18"/>
          <w:szCs w:val="18"/>
          <w:u w:val="single"/>
          <w:lang w:val="es-ES" w:eastAsia="es-ES"/>
        </w:rPr>
        <w:t>POR SU CUENTA</w:t>
      </w:r>
    </w:p>
    <w:p>
      <w:pPr>
        <w:pStyle w:val="NoSpacing"/>
        <w:widowControl w:val="false"/>
        <w:numPr>
          <w:ilvl w:val="0"/>
          <w:numId w:val="2"/>
        </w:numPr>
        <w:jc w:val="both"/>
        <w:textAlignment w:val="baseline"/>
        <w:rPr>
          <w:color w:val="000000" w:themeColor="text1"/>
        </w:rPr>
      </w:pPr>
      <w:r>
        <w:rPr>
          <w:rFonts w:cs="Arial" w:ascii="Arial" w:hAnsi="Arial"/>
          <w:color w:val="000000" w:themeColor="text1"/>
          <w:sz w:val="18"/>
          <w:szCs w:val="18"/>
          <w:lang w:val="es-ES" w:eastAsia="es-ES"/>
        </w:rPr>
        <w:t>Ningún servicio NO especificado</w:t>
      </w:r>
    </w:p>
    <w:p>
      <w:pPr>
        <w:pStyle w:val="NoSpacing"/>
        <w:widowControl w:val="false"/>
        <w:numPr>
          <w:ilvl w:val="0"/>
          <w:numId w:val="2"/>
        </w:numPr>
        <w:jc w:val="both"/>
        <w:textAlignment w:val="baseline"/>
        <w:rPr>
          <w:color w:val="000000" w:themeColor="text1"/>
          <w:lang w:val="es-MX"/>
        </w:rPr>
      </w:pPr>
      <w:r>
        <w:rPr>
          <w:rFonts w:cs="Arial" w:ascii="Arial" w:hAnsi="Arial"/>
          <w:color w:val="000000" w:themeColor="text1"/>
          <w:sz w:val="18"/>
          <w:szCs w:val="18"/>
          <w:lang w:val="es-MX" w:eastAsia="es-ES"/>
        </w:rPr>
        <w:t>TASAS DE SALIDA DEL PAIS</w:t>
      </w:r>
    </w:p>
    <w:p>
      <w:pPr>
        <w:pStyle w:val="ListParagraph"/>
        <w:numPr>
          <w:ilvl w:val="0"/>
          <w:numId w:val="2"/>
        </w:numPr>
        <w:suppressAutoHyphens w:val="false"/>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Bebidas en las comidas.</w:t>
      </w:r>
    </w:p>
    <w:p>
      <w:pPr>
        <w:pStyle w:val="Standard"/>
        <w:spacing w:lineRule="auto" w:line="240" w:before="0" w:after="0"/>
        <w:jc w:val="both"/>
        <w:rPr>
          <w:rFonts w:ascii="Arial" w:hAnsi="Arial" w:eastAsia="Times New Roman" w:cs="Arial"/>
          <w:b/>
          <w:b/>
          <w:color w:val="E36C0A"/>
          <w:sz w:val="18"/>
          <w:szCs w:val="18"/>
          <w:u w:val="single"/>
          <w:lang w:val="es-MX" w:eastAsia="es-ES"/>
        </w:rPr>
      </w:pPr>
      <w:r>
        <w:rPr>
          <w:rFonts w:eastAsia="Times New Roman" w:cs="Arial" w:ascii="Arial" w:hAnsi="Arial"/>
          <w:b/>
          <w:color w:val="E36C0A"/>
          <w:sz w:val="18"/>
          <w:szCs w:val="18"/>
          <w:u w:val="single"/>
          <w:lang w:val="es-MX"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t xml:space="preserve">NOTAS DE OPERACIÓN: </w:t>
      </w:r>
    </w:p>
    <w:p>
      <w:pPr>
        <w:pStyle w:val="Normal"/>
        <w:spacing w:lineRule="auto" w:line="240" w:before="0" w:after="0"/>
        <w:jc w:val="both"/>
        <w:rPr>
          <w:rFonts w:ascii="Arial" w:hAnsi="Arial" w:cs="Arial"/>
          <w:color w:val="4F81BD" w:themeColor="accent1"/>
          <w:sz w:val="18"/>
          <w:szCs w:val="18"/>
        </w:rPr>
      </w:pPr>
      <w:r>
        <w:rPr>
          <w:rFonts w:cs="Arial" w:ascii="Arial" w:hAnsi="Arial"/>
          <w:color w:val="4F81BD" w:themeColor="accent1"/>
          <w:sz w:val="18"/>
          <w:szCs w:val="18"/>
        </w:rPr>
      </w:r>
    </w:p>
    <w:p>
      <w:pPr>
        <w:pStyle w:val="ListParagraph"/>
        <w:numPr>
          <w:ilvl w:val="0"/>
          <w:numId w:val="5"/>
        </w:numPr>
        <w:spacing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Nos alojaremos una noche en un SHUKUBO (monasterio) de Koyasan.</w:t>
      </w:r>
    </w:p>
    <w:p>
      <w:pPr>
        <w:pStyle w:val="ListParagraph"/>
        <w:numPr>
          <w:ilvl w:val="0"/>
          <w:numId w:val="5"/>
        </w:numPr>
        <w:suppressAutoHyphens w:val="false"/>
        <w:spacing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Caminaremos alrededor de 60 minutos (3km aproximadamente) por el KUMANO KODO (Camino de Kumano), la ruta hermana del Camino de Santiago en España y Patrimonio de la Humanidad por la UNESCO.</w:t>
      </w:r>
    </w:p>
    <w:p>
      <w:pPr>
        <w:pStyle w:val="ListParagraph"/>
        <w:numPr>
          <w:ilvl w:val="0"/>
          <w:numId w:val="5"/>
        </w:numPr>
        <w:suppressAutoHyphens w:val="false"/>
        <w:spacing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Es necesario preparar ropa de manga larga, calzado adecuado para caminos de tierra, toalla, paraguas y/o</w:t>
      </w:r>
    </w:p>
    <w:p>
      <w:pPr>
        <w:pStyle w:val="ListParagraph"/>
        <w:numPr>
          <w:ilvl w:val="0"/>
          <w:numId w:val="5"/>
        </w:numPr>
        <w:suppressAutoHyphens w:val="false"/>
        <w:spacing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 xml:space="preserve">chubasquero. Si algún pasajero no pudiera realizar la caminata del Camino de Kumano por su condición física y/u otros factores (siempre a criterio del guía) se le rogaría que se abstuviera de hacerla. En estos casos el cliente en cuestión esperará dentro del autocar o en Kumano Hongu Taisha </w:t>
      </w:r>
      <w:r>
        <w:rPr>
          <w:rFonts w:cs="Arial" w:ascii="Arial" w:hAnsi="Arial"/>
          <w:color w:val="000000" w:themeColor="text1"/>
          <w:sz w:val="18"/>
          <w:szCs w:val="18"/>
          <w:lang w:val="es-MX"/>
        </w:rPr>
        <w:t>o en el lugar que le indique el guía</w:t>
      </w:r>
    </w:p>
    <w:p>
      <w:pPr>
        <w:pStyle w:val="ListParagraph"/>
        <w:numPr>
          <w:ilvl w:val="0"/>
          <w:numId w:val="5"/>
        </w:numPr>
        <w:suppressAutoHyphens w:val="false"/>
        <w:spacing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Podremos disfrutar del ONSEN (aguas termales) en Kawayu Onsen y Takayama.</w:t>
      </w:r>
    </w:p>
    <w:p>
      <w:pPr>
        <w:pStyle w:val="ListParagraph"/>
        <w:numPr>
          <w:ilvl w:val="0"/>
          <w:numId w:val="5"/>
        </w:numPr>
        <w:suppressAutoHyphens w:val="false"/>
        <w:spacing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Máximo de 4 habitaciones o 8 pasajeros por grupo de pasajeros viajando juntos y siempre deben viajar sin tour leader.</w:t>
      </w:r>
    </w:p>
    <w:p>
      <w:pPr>
        <w:pStyle w:val="ListParagraph"/>
        <w:numPr>
          <w:ilvl w:val="0"/>
          <w:numId w:val="5"/>
        </w:numPr>
        <w:suppressAutoHyphens w:val="false"/>
        <w:spacing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Este circuito no es recomendable para personas con movilidad reducida</w:t>
      </w:r>
    </w:p>
    <w:p>
      <w:pPr>
        <w:pStyle w:val="ListParagraph"/>
        <w:numPr>
          <w:ilvl w:val="0"/>
          <w:numId w:val="6"/>
        </w:numPr>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 xml:space="preserve">Tours en los que se realizan excursiones especiales por cortesía del proveedor: </w:t>
      </w:r>
    </w:p>
    <w:p>
      <w:pPr>
        <w:pStyle w:val="ListParagraph"/>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 xml:space="preserve">Tour para ver flores de cerezo: Última semana de marzo y la primera semana de abril </w:t>
      </w:r>
    </w:p>
    <w:p>
      <w:pPr>
        <w:pStyle w:val="ListParagraph"/>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 xml:space="preserve">Tour para ver las hojas coloridas de otoño: mes de noviembre </w:t>
      </w:r>
    </w:p>
    <w:p>
      <w:pPr>
        <w:pStyle w:val="ListParagraph"/>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**Todos estos tours podrían cambiar en función del florecimiento de los cerezos, el cambio de color de las hojas de los árboles y del clima</w:t>
      </w:r>
    </w:p>
    <w:p>
      <w:pPr>
        <w:pStyle w:val="ListParagraph"/>
        <w:numPr>
          <w:ilvl w:val="0"/>
          <w:numId w:val="6"/>
        </w:numPr>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Notas para las salidas con interés especial por festivales</w:t>
      </w:r>
    </w:p>
    <w:p>
      <w:pPr>
        <w:pStyle w:val="ListParagraph"/>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 xml:space="preserve">17 y 24 de Julio: Festival de Gio, Kioto </w:t>
      </w:r>
    </w:p>
    <w:p>
      <w:pPr>
        <w:pStyle w:val="ListParagraph"/>
        <w:numPr>
          <w:ilvl w:val="0"/>
          <w:numId w:val="6"/>
        </w:numPr>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Tours que coinciden con fechas con previsión de congestión de tráfico.</w:t>
      </w:r>
    </w:p>
    <w:p>
      <w:pPr>
        <w:pStyle w:val="ListParagraph"/>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 xml:space="preserve">Semana de Oro japonesa: 26 de abril al 06 de mayo </w:t>
      </w:r>
    </w:p>
    <w:p>
      <w:pPr>
        <w:pStyle w:val="ListParagraph"/>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Festival de Obon: 8 al 18 de agosto</w:t>
      </w:r>
    </w:p>
    <w:p>
      <w:pPr>
        <w:pStyle w:val="ListParagraph"/>
        <w:numPr>
          <w:ilvl w:val="0"/>
          <w:numId w:val="6"/>
        </w:numPr>
        <w:suppressAutoHyphens w:val="false"/>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 xml:space="preserve">Los casos de intolerancias alimentarias (alergias, celiaquía, comida vegetariana, etc) deben comunicarse antes de la llegada a Japón lo más detallado posible y no pudiéndose garantizar ningún tipo de dieta o menú especial. </w:t>
      </w:r>
    </w:p>
    <w:p>
      <w:pPr>
        <w:pStyle w:val="ListParagraph"/>
        <w:numPr>
          <w:ilvl w:val="0"/>
          <w:numId w:val="6"/>
        </w:numPr>
        <w:suppressAutoHyphens w:val="false"/>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Para los vuelos con salida antes de las 11h30 desde Tokyo (NRT/HND) es posible que no haya tiempo para tomar el desayuno. No hay posibilidad de ofrecer box breakfast ni reembolso.</w:t>
      </w:r>
    </w:p>
    <w:p>
      <w:pPr>
        <w:pStyle w:val="Normal"/>
        <w:suppressAutoHyphens w:val="false"/>
        <w:spacing w:lineRule="auto" w:line="240" w:before="0" w:after="0"/>
        <w:jc w:val="both"/>
        <w:rPr>
          <w:rFonts w:ascii="Arial" w:hAnsi="Arial" w:cs="Arial"/>
          <w:color w:val="000000" w:themeColor="text1"/>
          <w:sz w:val="18"/>
          <w:szCs w:val="18"/>
        </w:rPr>
      </w:pPr>
      <w:r>
        <w:rPr>
          <w:rFonts w:cs="Arial" w:ascii="Arial" w:hAnsi="Arial"/>
          <w:color w:val="000000" w:themeColor="text1"/>
          <w:sz w:val="18"/>
          <w:szCs w:val="18"/>
        </w:rPr>
      </w:r>
    </w:p>
    <w:p>
      <w:pPr>
        <w:pStyle w:val="ListParagraph"/>
        <w:numPr>
          <w:ilvl w:val="0"/>
          <w:numId w:val="4"/>
        </w:numPr>
        <w:suppressAutoHyphens w:val="false"/>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Para noches adicionales (noche pre-tour en Kyoto y/o post-tour en Tokyo) el traslado está incluido siempre que sea al mismo hotel del tour.</w:t>
      </w:r>
    </w:p>
    <w:p>
      <w:pPr>
        <w:pStyle w:val="ListParagraph"/>
        <w:numPr>
          <w:ilvl w:val="0"/>
          <w:numId w:val="4"/>
        </w:numPr>
        <w:suppressAutoHyphens w:val="false"/>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En caso de traslados IN &amp; OUT a hoteles diferentes del tour se cobrará un suplemento (Consultar suplemento).</w:t>
      </w:r>
    </w:p>
    <w:p>
      <w:pPr>
        <w:pStyle w:val="ListParagraph"/>
        <w:numPr>
          <w:ilvl w:val="0"/>
          <w:numId w:val="4"/>
        </w:numPr>
        <w:jc w:val="both"/>
        <w:rPr>
          <w:rFonts w:ascii="Arial" w:hAnsi="Arial" w:cs="Arial"/>
          <w:color w:val="000000" w:themeColor="text1"/>
          <w:sz w:val="18"/>
          <w:szCs w:val="18"/>
          <w:lang w:val="es-MX"/>
        </w:rPr>
      </w:pPr>
      <w:r>
        <w:rPr>
          <w:rFonts w:cs="Arial" w:ascii="Arial" w:hAnsi="Arial"/>
          <w:color w:val="000000" w:themeColor="text1"/>
          <w:sz w:val="18"/>
          <w:szCs w:val="18"/>
          <w:lang w:val="es-MX"/>
        </w:rPr>
        <w:t>En caso de que haya algún error en la información de los vuelos, o deseen modificar la hora/fecha de traslado, conlleva un suplemento para el cambio</w:t>
      </w:r>
      <w:r>
        <w:rPr>
          <w:rFonts w:cs="Arial" w:ascii="Arial" w:hAnsi="Arial"/>
          <w:b/>
          <w:bCs/>
          <w:color w:val="000000" w:themeColor="text1"/>
          <w:sz w:val="18"/>
          <w:szCs w:val="18"/>
          <w:lang w:val="es-MX"/>
        </w:rPr>
        <w:t xml:space="preserve"> </w:t>
      </w:r>
      <w:r>
        <w:rPr>
          <w:rFonts w:cs="Arial" w:ascii="Arial" w:hAnsi="Arial"/>
          <w:color w:val="000000" w:themeColor="text1"/>
          <w:sz w:val="18"/>
          <w:szCs w:val="18"/>
        </w:rPr>
        <w:t>(Consultar suplemento)</w:t>
      </w:r>
      <w:r>
        <w:rPr>
          <w:rFonts w:cs="Arial" w:ascii="Arial" w:hAnsi="Arial"/>
          <w:color w:val="000000" w:themeColor="text1"/>
          <w:sz w:val="18"/>
          <w:szCs w:val="18"/>
          <w:lang w:val="es-MX"/>
        </w:rPr>
        <w:t xml:space="preserve">. Aun así no se puede garantizar el cambio por cuestión de tiempo o de disponibilidad. </w:t>
      </w:r>
      <w:r>
        <w:rPr>
          <w:rFonts w:cs="Arial" w:ascii="Arial" w:hAnsi="Arial"/>
          <w:b/>
          <w:bCs/>
          <w:color w:val="000000" w:themeColor="text1"/>
          <w:sz w:val="18"/>
          <w:szCs w:val="18"/>
          <w:lang w:val="es-MX"/>
        </w:rPr>
        <w:t>Además, en el caso de que los pasajeros lleguen en un vuelo diferente al informado y no se haya informado del nuevo vuelo, el traslado queda automáticamente cancelado.</w:t>
      </w:r>
    </w:p>
    <w:p>
      <w:pPr>
        <w:pStyle w:val="ListParagraph"/>
        <w:numPr>
          <w:ilvl w:val="0"/>
          <w:numId w:val="4"/>
        </w:numPr>
        <w:suppressAutoHyphens w:val="false"/>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Para los vuelos con llegada entre las 22:00 y las 06:00 a KIX, en el traslado de llegada se cobrará un suplemento (Consultar suplemento).</w:t>
      </w:r>
    </w:p>
    <w:p>
      <w:pPr>
        <w:pStyle w:val="ListParagraph"/>
        <w:numPr>
          <w:ilvl w:val="0"/>
          <w:numId w:val="4"/>
        </w:numPr>
        <w:suppressAutoHyphens w:val="false"/>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Para los vuelos con llegada a KIX entre las 06:00 y las 06:29, no facturamos dicho suplemento siempre y cuando los clientes acepten esperar la llegada del asistente a partir de las 06:30. En caso contrario, rogamos soliciten la recogida a la hora de llegada del vuelo con el suplemento (Consultar suplemento).</w:t>
      </w:r>
    </w:p>
    <w:p>
      <w:pPr>
        <w:pStyle w:val="ListParagraph"/>
        <w:numPr>
          <w:ilvl w:val="0"/>
          <w:numId w:val="4"/>
        </w:numPr>
        <w:suppressAutoHyphens w:val="false"/>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Para los vuelos entre las 01:00 y las 09:30 desde NRT, y entre las 01:00 y las 08:30 desde HND el traslado de salida se cobra un suplemento (Consultar suplemento).</w:t>
      </w:r>
    </w:p>
    <w:p>
      <w:pPr>
        <w:pStyle w:val="ListParagraph"/>
        <w:numPr>
          <w:ilvl w:val="0"/>
          <w:numId w:val="4"/>
        </w:numPr>
        <w:suppressAutoHyphens w:val="false"/>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Asientos reservados en clase turista. Primera clase no está disponible en este programa</w:t>
      </w:r>
    </w:p>
    <w:p>
      <w:pPr>
        <w:pStyle w:val="ListParagraph"/>
        <w:numPr>
          <w:ilvl w:val="0"/>
          <w:numId w:val="4"/>
        </w:numPr>
        <w:suppressAutoHyphens w:val="false"/>
        <w:spacing w:lineRule="auto" w:line="240" w:before="0" w:after="0"/>
        <w:contextualSpacing/>
        <w:jc w:val="both"/>
        <w:rPr>
          <w:rFonts w:ascii="Arial" w:hAnsi="Arial" w:eastAsia="Times New Roman" w:cs="Arial"/>
          <w:b/>
          <w:b/>
          <w:color w:val="000000" w:themeColor="text1"/>
          <w:sz w:val="18"/>
          <w:szCs w:val="18"/>
          <w:u w:val="single"/>
          <w:lang w:eastAsia="es-ES"/>
        </w:rPr>
      </w:pPr>
      <w:r>
        <w:rPr>
          <w:rFonts w:cs="Arial" w:ascii="Arial" w:hAnsi="Arial"/>
          <w:color w:val="000000" w:themeColor="text1"/>
          <w:sz w:val="18"/>
          <w:szCs w:val="18"/>
        </w:rPr>
        <w:t>A partir de 10 personas se opera el circuito en taxi, coche privado, mini-bus o autocar, con guía de habla española según el itinerario, incluyendo las entradas a los monumentos especificados con la marca (*) en el itinerario. *Menos de 10 personas operan en transporte público.</w:t>
      </w:r>
    </w:p>
    <w:p>
      <w:pPr>
        <w:pStyle w:val="ListParagraph"/>
        <w:numPr>
          <w:ilvl w:val="0"/>
          <w:numId w:val="4"/>
        </w:numPr>
        <w:suppressAutoHyphens w:val="false"/>
        <w:spacing w:lineRule="auto" w:line="240" w:before="0" w:after="0"/>
        <w:contextualSpacing/>
        <w:jc w:val="both"/>
        <w:rPr>
          <w:rFonts w:ascii="Arial" w:hAnsi="Arial" w:eastAsia="Times New Roman" w:cs="Arial"/>
          <w:b/>
          <w:b/>
          <w:color w:val="000000" w:themeColor="text1"/>
          <w:sz w:val="18"/>
          <w:szCs w:val="18"/>
          <w:u w:val="single"/>
          <w:lang w:eastAsia="es-ES"/>
        </w:rPr>
      </w:pPr>
      <w:r>
        <w:rPr>
          <w:rFonts w:cs="Arial" w:ascii="Arial" w:hAnsi="Arial"/>
          <w:color w:val="000000" w:themeColor="text1"/>
          <w:sz w:val="18"/>
          <w:szCs w:val="18"/>
        </w:rPr>
        <w:t>Está permitido llevar 1 maleta de tamaño normal (hasta 23 kg) por persona incluida. Suplemento de JPY 4.000 a partir de la 2ª maleta por persona / envío (pago directo en Japón).</w:t>
      </w:r>
    </w:p>
    <w:p>
      <w:pPr>
        <w:pStyle w:val="ListParagraph"/>
        <w:numPr>
          <w:ilvl w:val="0"/>
          <w:numId w:val="8"/>
        </w:numPr>
        <w:suppressAutoHyphens w:val="false"/>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Las maletas se trasladarán directamente: Kioto/Hiroshima/Osaka/Tokio. Los clientes pasarán sin sus maletas en Hiroshima (1 noche), Koyasan y Kawayu Onsen (2 noches), Kanazawa y Takayama (2 noches). Se ruega preparar un equipaje de mano (maleta de mano hasta 10kg) para estas noches.</w:t>
      </w:r>
    </w:p>
    <w:p>
      <w:pPr>
        <w:pStyle w:val="ListParagraph"/>
        <w:numPr>
          <w:ilvl w:val="0"/>
          <w:numId w:val="8"/>
        </w:numPr>
        <w:suppressAutoHyphens w:val="false"/>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Las propinas a guías y chóferes son voluntarias.</w:t>
      </w:r>
    </w:p>
    <w:p>
      <w:pPr>
        <w:pStyle w:val="ListParagraph"/>
        <w:numPr>
          <w:ilvl w:val="0"/>
          <w:numId w:val="7"/>
        </w:numPr>
        <w:suppressAutoHyphens w:val="false"/>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En caso de realizar una escala en Japón, rogamos que dejen al menos 3 horas de diferencia entre el vuelo internacional y el vuelo doméstico para evitar la pérdida del siguiente vuelo. En la gran mayoría de casos es necesario que los pasajeros recojan sus maletas y hagan check-in de nuevo para el vuelo doméstico (revise con su agencia y/o la aerolínea).</w:t>
      </w:r>
    </w:p>
    <w:p>
      <w:pPr>
        <w:pStyle w:val="ListParagraph"/>
        <w:numPr>
          <w:ilvl w:val="0"/>
          <w:numId w:val="7"/>
        </w:numPr>
        <w:suppressAutoHyphens w:val="false"/>
        <w:spacing w:lineRule="auto" w:line="240" w:before="0" w:after="0"/>
        <w:contextualSpacing/>
        <w:jc w:val="both"/>
        <w:rPr>
          <w:rFonts w:ascii="Arial" w:hAnsi="Arial" w:cs="Arial"/>
          <w:color w:val="000000" w:themeColor="text1"/>
          <w:sz w:val="18"/>
          <w:szCs w:val="18"/>
        </w:rPr>
      </w:pPr>
      <w:r>
        <w:rPr>
          <w:rFonts w:cs="Arial" w:ascii="Arial" w:hAnsi="Arial"/>
          <w:color w:val="000000" w:themeColor="text1"/>
          <w:sz w:val="18"/>
          <w:szCs w:val="18"/>
        </w:rPr>
        <w:t>En caso de que la actitud de un pasajero ponga en peligro la operativa del tour y/o cause molestias al resto del grupo, éste se verá obligado a abandonar el tour sin ningún tipo de descuento o devolución por los servicios que no pueda disfrutar.</w:t>
      </w:r>
    </w:p>
    <w:p>
      <w:pPr>
        <w:pStyle w:val="Standard"/>
        <w:spacing w:lineRule="auto" w:line="240" w:before="0" w:after="0"/>
        <w:jc w:val="both"/>
        <w:rPr>
          <w:rFonts w:ascii="Arial" w:hAnsi="Arial" w:eastAsia="Times New Roman" w:cs="Arial"/>
          <w:b/>
          <w:b/>
          <w:color w:val="E36C0A"/>
          <w:sz w:val="18"/>
          <w:szCs w:val="18"/>
          <w:u w:val="single"/>
          <w:lang w:eastAsia="es-ES"/>
        </w:rPr>
      </w:pPr>
      <w:r>
        <w:rPr>
          <w:rFonts w:eastAsia="Times New Roman" w:cs="Arial" w:ascii="Arial" w:hAnsi="Arial"/>
          <w:b/>
          <w:color w:val="E36C0A"/>
          <w:sz w:val="18"/>
          <w:szCs w:val="18"/>
          <w:u w:val="single"/>
          <w:lang w:eastAsia="es-ES"/>
        </w:rPr>
      </w:r>
    </w:p>
    <w:p>
      <w:pPr>
        <w:pStyle w:val="Standard"/>
        <w:spacing w:lineRule="auto" w:line="240" w:before="0" w:after="0"/>
        <w:jc w:val="both"/>
        <w:rPr>
          <w:rFonts w:ascii="Arial" w:hAnsi="Arial" w:eastAsia="Times New Roman" w:cs="Arial"/>
          <w:b/>
          <w:b/>
          <w:color w:val="E36C0A"/>
          <w:sz w:val="18"/>
          <w:szCs w:val="18"/>
          <w:u w:val="single"/>
          <w:lang w:val="es-MX" w:eastAsia="es-ES"/>
        </w:rPr>
      </w:pPr>
      <w:r>
        <w:rPr>
          <w:rFonts w:eastAsia="Times New Roman" w:cs="Arial" w:ascii="Arial" w:hAnsi="Arial"/>
          <w:b/>
          <w:color w:val="E36C0A"/>
          <w:sz w:val="18"/>
          <w:szCs w:val="18"/>
          <w:u w:val="single"/>
          <w:lang w:val="es-MX" w:eastAsia="es-ES"/>
        </w:rPr>
      </w:r>
    </w:p>
    <w:p>
      <w:pPr>
        <w:pStyle w:val="Standard"/>
        <w:spacing w:lineRule="auto" w:line="240" w:before="0" w:after="0"/>
        <w:jc w:val="both"/>
        <w:rPr>
          <w:rFonts w:ascii="Arial" w:hAnsi="Arial" w:eastAsia="Times New Roman" w:cs="Arial"/>
          <w:b/>
          <w:b/>
          <w:color w:val="E36C0A"/>
          <w:sz w:val="18"/>
          <w:szCs w:val="18"/>
          <w:u w:val="single"/>
          <w:lang w:eastAsia="es-ES"/>
        </w:rPr>
      </w:pPr>
      <w:r>
        <w:rPr>
          <w:rFonts w:eastAsia="Times New Roman" w:cs="Arial" w:ascii="Arial" w:hAnsi="Arial"/>
          <w:b/>
          <w:color w:val="E36C0A"/>
          <w:sz w:val="18"/>
          <w:szCs w:val="18"/>
          <w:u w:val="single"/>
          <w:lang w:eastAsia="es-ES"/>
        </w:rPr>
        <w:t>NOTAS IMPORTANTES:</w:t>
      </w:r>
    </w:p>
    <w:p>
      <w:pPr>
        <w:pStyle w:val="Standard"/>
        <w:spacing w:lineRule="auto" w:line="240" w:before="0" w:after="0"/>
        <w:rPr>
          <w:rFonts w:ascii="Arial" w:hAnsi="Arial" w:eastAsia="Times New Roman" w:cs="Arial"/>
          <w:b/>
          <w:b/>
          <w:color w:val="E36C0A"/>
          <w:sz w:val="18"/>
          <w:szCs w:val="18"/>
          <w:u w:val="single"/>
          <w:lang w:eastAsia="es-ES"/>
        </w:rPr>
      </w:pPr>
      <w:r>
        <w:rPr>
          <w:rFonts w:eastAsia="Times New Roman" w:cs="Arial" w:ascii="Arial" w:hAnsi="Arial"/>
          <w:b/>
          <w:color w:val="E36C0A"/>
          <w:sz w:val="18"/>
          <w:szCs w:val="18"/>
          <w:u w:val="single"/>
          <w:lang w:eastAsia="es-ES"/>
        </w:rPr>
      </w:r>
    </w:p>
    <w:p>
      <w:pPr>
        <w:pStyle w:val="NoSpacing"/>
        <w:widowControl w:val="false"/>
        <w:numPr>
          <w:ilvl w:val="0"/>
          <w:numId w:val="3"/>
        </w:numPr>
        <w:jc w:val="both"/>
        <w:textAlignment w:val="baseline"/>
        <w:rPr>
          <w:lang w:val="es-ES"/>
        </w:rPr>
      </w:pPr>
      <w:r>
        <w:rPr>
          <w:rFonts w:cs="Arial" w:ascii="Arial" w:hAnsi="Arial"/>
          <w:sz w:val="18"/>
          <w:szCs w:val="18"/>
          <w:lang w:val="es-ES" w:eastAsia="es-ES"/>
        </w:rPr>
        <w:t>Tarifas expresadas en Dólares Americanos pagaderos en Moneda Nacional al tipo de cambio del día de su pago indicado por Tourmundial, sujetas a cambios sin previo aviso y a disponibilidad al momento de reservar.</w:t>
      </w:r>
    </w:p>
    <w:p>
      <w:pPr>
        <w:pStyle w:val="NoSpacing"/>
        <w:widowControl w:val="false"/>
        <w:numPr>
          <w:ilvl w:val="0"/>
          <w:numId w:val="3"/>
        </w:numPr>
        <w:jc w:val="both"/>
        <w:textAlignment w:val="baseline"/>
        <w:rPr>
          <w:lang w:val="es-ES"/>
        </w:rPr>
      </w:pPr>
      <w:r>
        <w:rPr>
          <w:rFonts w:cs="Arial" w:ascii="Arial" w:hAnsi="Arial"/>
          <w:sz w:val="18"/>
          <w:szCs w:val="18"/>
          <w:lang w:val="es-ES" w:eastAsia="es-ES"/>
        </w:rPr>
        <w:t>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Tourmundial brindará asesoría y apoyo para le gestión de todos los documentos necesarios.</w:t>
      </w:r>
    </w:p>
    <w:p>
      <w:pPr>
        <w:pStyle w:val="ListParagraph"/>
        <w:widowControl w:val="false"/>
        <w:numPr>
          <w:ilvl w:val="0"/>
          <w:numId w:val="3"/>
        </w:numPr>
        <w:spacing w:lineRule="auto" w:line="240" w:before="0" w:after="0"/>
        <w:contextualSpacing/>
        <w:jc w:val="both"/>
        <w:textAlignment w:val="baseline"/>
        <w:rPr/>
      </w:pPr>
      <w:r>
        <w:rPr>
          <w:rFonts w:cs="Arial" w:ascii="Arial" w:hAnsi="Arial"/>
          <w:sz w:val="18"/>
          <w:szCs w:val="18"/>
          <w:lang w:eastAsia="es-ES"/>
        </w:rPr>
        <w:t>La vigencia de su pasaporte deberá tener mínimo seis meses a partir de la fecha de finalización de su viaje.</w:t>
      </w:r>
    </w:p>
    <w:p>
      <w:pPr>
        <w:pStyle w:val="ListParagraph"/>
        <w:widowControl w:val="false"/>
        <w:numPr>
          <w:ilvl w:val="0"/>
          <w:numId w:val="3"/>
        </w:numPr>
        <w:spacing w:lineRule="auto" w:line="240" w:before="0" w:after="0"/>
        <w:contextualSpacing/>
        <w:jc w:val="both"/>
        <w:textAlignment w:val="baseline"/>
        <w:rPr/>
      </w:pPr>
      <w:r>
        <w:rPr>
          <w:rFonts w:cs="Arial" w:ascii="Arial" w:hAnsi="Arial"/>
          <w:sz w:val="18"/>
          <w:szCs w:val="18"/>
          <w:lang w:eastAsia="es-ES"/>
        </w:rPr>
        <w:t>El orden de los servicios previstos mencionados en este itinerario podría modificarse en función de la disponibilidad terrestre o condiciones climáticas del lugar, pero siempre serán dadas conforme fueron adquiridas.</w:t>
      </w:r>
    </w:p>
    <w:p>
      <w:pPr>
        <w:pStyle w:val="ListParagraph"/>
        <w:widowControl w:val="false"/>
        <w:numPr>
          <w:ilvl w:val="0"/>
          <w:numId w:val="3"/>
        </w:numPr>
        <w:spacing w:lineRule="auto" w:line="240" w:before="0" w:after="0"/>
        <w:contextualSpacing/>
        <w:jc w:val="both"/>
        <w:textAlignment w:val="baseline"/>
        <w:rPr/>
      </w:pPr>
      <w:r>
        <w:rPr>
          <w:rFonts w:cs="Arial" w:ascii="Arial" w:hAnsi="Arial"/>
          <w:sz w:val="18"/>
          <w:szCs w:val="18"/>
          <w:lang w:val="es-ES_tradnl" w:eastAsia="es-ES"/>
        </w:rPr>
        <w:t>Los servicios de traslados y excursiones en esta cotización son otorgados como servicios regulares, estos servicios están sujetos a horarios preestablecidos</w:t>
      </w:r>
    </w:p>
    <w:p>
      <w:pPr>
        <w:pStyle w:val="ListParagraph"/>
        <w:widowControl w:val="false"/>
        <w:numPr>
          <w:ilvl w:val="0"/>
          <w:numId w:val="3"/>
        </w:numPr>
        <w:spacing w:lineRule="auto" w:line="240" w:before="0" w:after="0"/>
        <w:contextualSpacing/>
        <w:jc w:val="both"/>
        <w:textAlignment w:val="baseline"/>
        <w:rPr/>
      </w:pPr>
      <w:r>
        <w:rPr>
          <w:rFonts w:cs="Arial" w:ascii="Arial" w:hAnsi="Arial"/>
          <w:sz w:val="18"/>
          <w:szCs w:val="18"/>
          <w:lang w:val="es-ES_tradnl" w:eastAsia="es-ES"/>
        </w:rPr>
        <w:t>Cualquier servicio adicional durante el viaje debe ser pagado por el cliente.</w:t>
      </w:r>
    </w:p>
    <w:p>
      <w:pPr>
        <w:pStyle w:val="ListParagraph"/>
        <w:widowControl w:val="false"/>
        <w:numPr>
          <w:ilvl w:val="0"/>
          <w:numId w:val="3"/>
        </w:numPr>
        <w:spacing w:lineRule="auto" w:line="240" w:before="0" w:after="0"/>
        <w:contextualSpacing/>
        <w:jc w:val="both"/>
        <w:textAlignment w:val="baseline"/>
        <w:rPr/>
      </w:pPr>
      <w:r>
        <w:rPr>
          <w:rFonts w:cs="Arial" w:ascii="Arial" w:hAnsi="Arial"/>
          <w:sz w:val="18"/>
          <w:szCs w:val="18"/>
          <w:lang w:eastAsia="es-ES"/>
        </w:rPr>
        <w:t xml:space="preserve">Los horarios de registro de entrada (Check-In) y salida (Check Out) de los hoteles están sujetos a las formalidades de cada hotel, pudiendo tener los siguientes horarios: Check In 15:00 Hrs. y Check Out 11:00 Hrs. (Mañana). En caso de que la llegada fuese antes del horario establecido, existe la posibilidad de que la habitación no sea facilitada hasta el horario correspondiente. </w:t>
      </w:r>
      <w:r>
        <w:rPr>
          <w:rFonts w:cs="Arial" w:ascii="Arial" w:hAnsi="Arial"/>
          <w:sz w:val="18"/>
          <w:szCs w:val="18"/>
        </w:rPr>
        <w:t>Si su avión regresa por la tarde, el hotel podrá mantener sus pertenencias.</w:t>
      </w:r>
    </w:p>
    <w:p>
      <w:pPr>
        <w:pStyle w:val="ListParagraph"/>
        <w:widowControl w:val="false"/>
        <w:numPr>
          <w:ilvl w:val="0"/>
          <w:numId w:val="3"/>
        </w:numPr>
        <w:spacing w:lineRule="auto" w:line="240" w:before="0" w:after="0"/>
        <w:contextualSpacing/>
        <w:jc w:val="both"/>
        <w:textAlignment w:val="baseline"/>
        <w:rPr/>
      </w:pPr>
      <w:r>
        <w:rPr>
          <w:rFonts w:cs="Arial" w:ascii="Arial" w:hAnsi="Arial"/>
          <w:sz w:val="18"/>
          <w:szCs w:val="18"/>
          <w:lang w:eastAsia="es-ES"/>
        </w:rPr>
        <w:t>CIRCUITOS REGULARES Y GARANTIZADOS.</w:t>
      </w:r>
    </w:p>
    <w:p>
      <w:pPr>
        <w:pStyle w:val="ListParagraph"/>
        <w:widowControl w:val="false"/>
        <w:spacing w:lineRule="auto" w:line="240"/>
        <w:jc w:val="both"/>
        <w:rPr/>
      </w:pPr>
      <w:r>
        <w:rPr>
          <w:rFonts w:cs="Arial" w:ascii="Arial" w:hAnsi="Arial"/>
          <w:sz w:val="18"/>
          <w:szCs w:val="18"/>
          <w:lang w:eastAsia="es-ES"/>
        </w:rPr>
        <w:t>Les recordamos que la selección de hoteles en las salidas garantizadas NO ES UNA OPCION DE CLIENTE. El cliente NO PUEDE ELEGIR el hotel dentro de la categoría seleccionada. Se Indica varios hoteles con los que se trabaja habitualmente, pero la elección final del hotel en cada salida es única y exclusivamente de Tourmundial</w:t>
      </w:r>
    </w:p>
    <w:p>
      <w:pPr>
        <w:pStyle w:val="ListParagraph"/>
        <w:widowControl w:val="false"/>
        <w:spacing w:lineRule="auto" w:line="240"/>
        <w:jc w:val="both"/>
        <w:rPr>
          <w:rFonts w:ascii="Arial" w:hAnsi="Arial" w:cs="Arial"/>
          <w:sz w:val="18"/>
          <w:szCs w:val="18"/>
          <w:lang w:eastAsia="es-ES"/>
        </w:rPr>
      </w:pPr>
      <w:r>
        <w:rPr>
          <w:rFonts w:cs="Arial" w:ascii="Arial" w:hAnsi="Arial"/>
          <w:sz w:val="18"/>
          <w:szCs w:val="18"/>
          <w:lang w:eastAsia="es-ES"/>
        </w:rPr>
        <w:t>Si los clientes desean otro hotel, deberán solicitar SERVICIOS PRIVADOS y en ese caso, la elección es de ellos, pagando el importe correspondiente por SERVICIOS PRIVADOS, FIT y/o a la carta.</w:t>
      </w:r>
    </w:p>
    <w:p>
      <w:pPr>
        <w:pStyle w:val="ListParagraph"/>
        <w:widowControl w:val="false"/>
        <w:numPr>
          <w:ilvl w:val="0"/>
          <w:numId w:val="3"/>
        </w:numPr>
        <w:spacing w:lineRule="auto" w:line="240"/>
        <w:jc w:val="both"/>
        <w:rPr>
          <w:rFonts w:ascii="Arial" w:hAnsi="Arial" w:cs="Arial"/>
          <w:sz w:val="18"/>
          <w:szCs w:val="18"/>
          <w:lang w:eastAsia="es-ES"/>
        </w:rPr>
      </w:pPr>
      <w:r>
        <w:rPr>
          <w:rFonts w:cs="Arial" w:ascii="Arial" w:hAnsi="Arial"/>
          <w:sz w:val="18"/>
          <w:szCs w:val="18"/>
          <w:lang w:eastAsia="es-ES"/>
        </w:rPr>
        <w:t>Tourmundial, no se responsabiliza por ninguna pérdida de equipaje, daño, deterioro o perjuicio de ninguna índole que pueda ocurrir durante el circuito, debido a la negligencia, error o descuido de los proveedores de servicios: transportes, hoteles, restaurantes, etc. El cliente prestará personalmente especial atención en la manipulación de su equipaje, en la subida y o bajada de los mismos en los medios de transporte utilizados durante los circuitos.</w:t>
      </w:r>
    </w:p>
    <w:p>
      <w:pPr>
        <w:pStyle w:val="ListParagraph"/>
        <w:widowControl w:val="false"/>
        <w:numPr>
          <w:ilvl w:val="0"/>
          <w:numId w:val="3"/>
        </w:numPr>
        <w:spacing w:lineRule="auto" w:line="240" w:before="0" w:after="0"/>
        <w:contextualSpacing/>
        <w:jc w:val="both"/>
        <w:textAlignment w:val="baseline"/>
        <w:rPr/>
      </w:pPr>
      <w:r>
        <w:rPr>
          <w:rFonts w:cs="Arial" w:ascii="Arial" w:hAnsi="Arial"/>
          <w:sz w:val="18"/>
          <w:szCs w:val="18"/>
          <w:lang w:eastAsia="es-ES"/>
        </w:rPr>
        <w:t>En caso de incidencia deberá denunciarlo en la Policía, para posteriores gestiones con su seguro. Tourmundial no indemnizará ni se responsabilizará en ningún caso por estos motivos, al no tener control ni poder controlar el equipaje de los clientes.</w:t>
      </w:r>
    </w:p>
    <w:p>
      <w:pPr>
        <w:pStyle w:val="ListParagraph"/>
        <w:widowControl w:val="false"/>
        <w:numPr>
          <w:ilvl w:val="0"/>
          <w:numId w:val="3"/>
        </w:numPr>
        <w:spacing w:lineRule="auto" w:line="240" w:before="0" w:after="0"/>
        <w:contextualSpacing/>
        <w:jc w:val="both"/>
        <w:textAlignment w:val="baseline"/>
        <w:rPr/>
      </w:pPr>
      <w:r>
        <w:rPr>
          <w:rFonts w:cs="Arial" w:ascii="Arial" w:hAnsi="Arial"/>
          <w:sz w:val="18"/>
          <w:szCs w:val="18"/>
        </w:rPr>
        <w:t xml:space="preserve">En la categoría turista, la cama de matrimonio no está disponible. Como la cama de matrimonio no es común en Japón, la mayoría de los hoteles de categoría estándar no dispone de ese tipo de habitación. Por lo tanto, la </w:t>
      </w:r>
      <w:r>
        <w:rPr>
          <w:rFonts w:cs="Arial" w:ascii="Arial" w:hAnsi="Arial"/>
          <w:b/>
          <w:sz w:val="18"/>
          <w:szCs w:val="18"/>
        </w:rPr>
        <w:t>categoría turista no se recomienda para los clientes de luna de miel</w:t>
      </w:r>
      <w:r>
        <w:rPr>
          <w:rFonts w:cs="Arial" w:ascii="Arial" w:hAnsi="Arial"/>
          <w:sz w:val="18"/>
          <w:szCs w:val="18"/>
        </w:rPr>
        <w:t>. Los pasajeros pueden solicitar cama de matrimonio en Kyoto y Tokyo en las categorías superior y lujo sin suplemento, aunque no lo podemos garantizar ya que depende de la disponibilidad de cada hotel.</w:t>
      </w:r>
    </w:p>
    <w:p>
      <w:pPr>
        <w:pStyle w:val="ListParagraph"/>
        <w:widowControl w:val="false"/>
        <w:numPr>
          <w:ilvl w:val="0"/>
          <w:numId w:val="3"/>
        </w:numPr>
        <w:spacing w:lineRule="auto" w:line="240" w:before="0" w:after="0"/>
        <w:contextualSpacing/>
        <w:jc w:val="both"/>
        <w:textAlignment w:val="baseline"/>
        <w:rPr/>
      </w:pPr>
      <w:r>
        <w:rPr>
          <w:rFonts w:cs="Arial" w:ascii="Arial" w:hAnsi="Arial"/>
          <w:sz w:val="18"/>
          <w:szCs w:val="18"/>
        </w:rPr>
        <w:t>La habitación de uso individual puede ser más pequeña que la twin.</w:t>
      </w:r>
    </w:p>
    <w:p>
      <w:pPr>
        <w:pStyle w:val="ListParagraph"/>
        <w:numPr>
          <w:ilvl w:val="0"/>
          <w:numId w:val="3"/>
        </w:numPr>
        <w:spacing w:lineRule="auto" w:line="240" w:before="0" w:after="0"/>
        <w:contextualSpacing/>
        <w:jc w:val="both"/>
        <w:rPr>
          <w:rFonts w:ascii="Arial" w:hAnsi="Arial" w:cs="Arial"/>
          <w:b/>
          <w:b/>
          <w:sz w:val="18"/>
          <w:szCs w:val="18"/>
        </w:rPr>
      </w:pPr>
      <w:r>
        <w:rPr>
          <w:rFonts w:cs="Arial" w:ascii="Arial" w:hAnsi="Arial"/>
          <w:sz w:val="18"/>
          <w:szCs w:val="18"/>
        </w:rPr>
        <w:t xml:space="preserve">La habitación triple será twin con una cama extra. La tercera cama puede ser más pequeña que las dos principales o puede ser sofá cama y pueden ser muy estrechas. La habitación triple no se garantiza hasta recibir confirmación por parte de los hoteles. </w:t>
      </w:r>
      <w:r>
        <w:rPr>
          <w:rFonts w:cs="Arial" w:ascii="Arial" w:hAnsi="Arial"/>
          <w:b/>
          <w:sz w:val="18"/>
          <w:szCs w:val="18"/>
        </w:rPr>
        <w:t>No recomendamos habitaciones triples para adultos.</w:t>
      </w:r>
    </w:p>
    <w:p>
      <w:pPr>
        <w:pStyle w:val="ListParagraph"/>
        <w:widowControl w:val="false"/>
        <w:numPr>
          <w:ilvl w:val="0"/>
          <w:numId w:val="3"/>
        </w:numPr>
        <w:spacing w:lineRule="auto" w:line="240" w:before="0" w:after="0"/>
        <w:contextualSpacing/>
        <w:jc w:val="both"/>
        <w:textAlignment w:val="baseline"/>
        <w:rPr/>
      </w:pPr>
      <w:r>
        <w:rPr>
          <w:rFonts w:cs="Arial" w:ascii="Arial" w:hAnsi="Arial"/>
          <w:sz w:val="18"/>
          <w:szCs w:val="18"/>
          <w:lang w:eastAsia="es-ES"/>
        </w:rPr>
        <w:t>Nuestra Organización, Tourmundial, es la más interesada en respetar y cumplir los programas tal y como están diseñados. Ocasionalmente por causas meteorológicas, climáticas, operativas, horarios de invierno o de verano, horarios reducidos por fiestas locales o religiosas o durante el mes sagrado del Ramadán, overbooking y/o casos de fuerza mayor, los programas podrían ser modificados en su ruta o itinerario previsto, respetando en cualquier caso todas las visitas indicadas y reembolsando los servicios no utilizados, si procede.</w:t>
      </w:r>
    </w:p>
    <w:p>
      <w:pPr>
        <w:pStyle w:val="ListParagraph"/>
        <w:numPr>
          <w:ilvl w:val="0"/>
          <w:numId w:val="3"/>
        </w:numPr>
        <w:spacing w:lineRule="auto" w:line="240" w:before="0" w:after="0"/>
        <w:contextualSpacing/>
        <w:jc w:val="both"/>
        <w:rPr>
          <w:rFonts w:ascii="Arial" w:hAnsi="Arial" w:cs="Arial"/>
          <w:b/>
          <w:b/>
          <w:sz w:val="18"/>
          <w:szCs w:val="18"/>
        </w:rPr>
      </w:pPr>
      <w:r>
        <w:rPr>
          <w:rFonts w:cs="Arial" w:ascii="Arial" w:hAnsi="Arial"/>
          <w:b/>
          <w:sz w:val="18"/>
          <w:szCs w:val="18"/>
          <w:lang w:eastAsia="es-ES"/>
        </w:rPr>
        <w:t xml:space="preserve">CAMBIOS Y MODIFICACIONES: No permitidos una vez que la reserva ya está confirmada </w:t>
      </w:r>
    </w:p>
    <w:p>
      <w:pPr>
        <w:pStyle w:val="ListParagraph"/>
        <w:widowControl w:val="false"/>
        <w:numPr>
          <w:ilvl w:val="0"/>
          <w:numId w:val="3"/>
        </w:numPr>
        <w:spacing w:before="0" w:after="200"/>
        <w:contextualSpacing w:val="false"/>
        <w:jc w:val="both"/>
        <w:textAlignment w:val="baseline"/>
        <w:rPr/>
      </w:pPr>
      <w:r>
        <w:rPr>
          <w:rFonts w:cs="Arial" w:ascii="Arial" w:hAnsi="Arial"/>
          <w:sz w:val="18"/>
          <w:szCs w:val="18"/>
          <w:lang w:eastAsia="es-ES"/>
        </w:rPr>
        <w:t>Los días libres, NO INCLUYEN servicio de guía y transporte</w:t>
      </w:r>
    </w:p>
    <w:p>
      <w:pPr>
        <w:pStyle w:val="ListParagraph"/>
        <w:widowControl w:val="false"/>
        <w:numPr>
          <w:ilvl w:val="0"/>
          <w:numId w:val="3"/>
        </w:numPr>
        <w:spacing w:before="0" w:after="200"/>
        <w:contextualSpacing w:val="false"/>
        <w:jc w:val="both"/>
        <w:textAlignment w:val="baseline"/>
        <w:rPr/>
      </w:pPr>
      <w:r>
        <w:rPr>
          <w:rFonts w:cs="Arial" w:ascii="Arial" w:hAnsi="Arial"/>
          <w:b/>
          <w:sz w:val="18"/>
          <w:szCs w:val="18"/>
          <w:u w:val="single"/>
          <w:lang w:eastAsia="es-ES"/>
        </w:rPr>
        <w:t>Operación a partir de mínimo 2 personas.</w:t>
      </w:r>
    </w:p>
    <w:p>
      <w:pPr>
        <w:pStyle w:val="Standard"/>
        <w:widowControl w:val="false"/>
        <w:spacing w:lineRule="auto" w:line="240" w:before="0" w:after="0"/>
        <w:jc w:val="both"/>
        <w:rPr/>
      </w:pPr>
      <w:r>
        <w:rPr>
          <w:rFonts w:eastAsia="Times New Roman" w:cs="Arial" w:ascii="Arial" w:hAnsi="Arial"/>
          <w:b/>
          <w:color w:val="E36C0A"/>
          <w:sz w:val="18"/>
          <w:szCs w:val="18"/>
          <w:u w:val="single"/>
          <w:lang w:eastAsia="es-ES"/>
        </w:rPr>
        <w:t>AVISO DE PRIVACIDAD:</w:t>
      </w:r>
    </w:p>
    <w:p>
      <w:pPr>
        <w:pStyle w:val="Standard"/>
        <w:widowControl w:val="false"/>
        <w:jc w:val="both"/>
        <w:rPr/>
      </w:pPr>
      <w:r>
        <w:rPr>
          <w:rFonts w:cs="Arial" w:ascii="Arial" w:hAnsi="Arial"/>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3">
        <w:r>
          <w:rPr>
            <w:rStyle w:val="Internetlink"/>
            <w:rFonts w:cs="Arial" w:ascii="Arial" w:hAnsi="Arial"/>
            <w:sz w:val="18"/>
            <w:szCs w:val="18"/>
          </w:rPr>
          <w:t>www.tourmundial.mx</w:t>
        </w:r>
      </w:hyperlink>
    </w:p>
    <w:p>
      <w:pPr>
        <w:pStyle w:val="NoSpacing"/>
        <w:widowControl w:val="false"/>
        <w:jc w:val="center"/>
        <w:rPr>
          <w:rFonts w:ascii="Arial" w:hAnsi="Arial" w:cs="Arial"/>
          <w:b/>
          <w:b/>
          <w:color w:val="E36C0A"/>
          <w:sz w:val="18"/>
          <w:szCs w:val="18"/>
          <w:u w:val="single"/>
          <w:lang w:val="es-ES" w:eastAsia="es-ES"/>
        </w:rPr>
      </w:pPr>
      <w:r>
        <w:rPr>
          <w:rFonts w:cs="Arial" w:ascii="Arial" w:hAnsi="Arial"/>
          <w:b/>
          <w:color w:val="E36C0A"/>
          <w:sz w:val="18"/>
          <w:szCs w:val="18"/>
          <w:u w:val="single"/>
          <w:lang w:val="es-ES" w:eastAsia="es-ES"/>
        </w:rPr>
      </w:r>
    </w:p>
    <w:p>
      <w:pPr>
        <w:pStyle w:val="NoSpacing"/>
        <w:widowControl w:val="false"/>
        <w:jc w:val="center"/>
        <w:rPr>
          <w:rFonts w:ascii="Arial" w:hAnsi="Arial" w:cs="Arial"/>
          <w:b/>
          <w:b/>
          <w:color w:val="E36C0A"/>
          <w:sz w:val="18"/>
          <w:szCs w:val="18"/>
          <w:u w:val="single"/>
          <w:lang w:val="es-ES" w:eastAsia="es-ES"/>
        </w:rPr>
      </w:pPr>
      <w:r>
        <w:rPr>
          <w:rFonts w:cs="Arial" w:ascii="Arial" w:hAnsi="Arial"/>
          <w:b/>
          <w:color w:val="E36C0A"/>
          <w:sz w:val="18"/>
          <w:szCs w:val="18"/>
          <w:u w:val="single"/>
          <w:lang w:val="es-ES" w:eastAsia="es-ES"/>
        </w:rPr>
      </w:r>
    </w:p>
    <w:p>
      <w:pPr>
        <w:pStyle w:val="NoSpacing"/>
        <w:widowControl w:val="false"/>
        <w:jc w:val="center"/>
        <w:rPr>
          <w:lang w:val="es-ES"/>
        </w:rPr>
      </w:pPr>
      <w:r>
        <w:rPr>
          <w:rFonts w:cs="Arial" w:ascii="Arial" w:hAnsi="Arial"/>
          <w:b/>
          <w:color w:val="E36C0A"/>
          <w:sz w:val="18"/>
          <w:szCs w:val="18"/>
          <w:u w:val="single"/>
          <w:lang w:val="es-ES" w:eastAsia="es-ES"/>
        </w:rPr>
        <w:t>VIGENCIA 12 MARZO AL 21 DE NOVIEMBRE 2025</w:t>
      </w:r>
    </w:p>
    <w:p>
      <w:pPr>
        <w:pStyle w:val="NoSpacing"/>
        <w:widowControl w:val="false"/>
        <w:jc w:val="center"/>
        <w:rPr>
          <w:rFonts w:ascii="Arial" w:hAnsi="Arial" w:cs="Arial"/>
          <w:b/>
          <w:b/>
          <w:color w:val="FF0000"/>
          <w:sz w:val="18"/>
          <w:szCs w:val="18"/>
          <w:u w:val="single"/>
          <w:lang w:val="es-ES" w:eastAsia="es-ES"/>
        </w:rPr>
      </w:pPr>
      <w:r>
        <w:rPr>
          <w:rFonts w:cs="Arial" w:ascii="Arial" w:hAnsi="Arial"/>
          <w:b/>
          <w:color w:val="FF0000"/>
          <w:sz w:val="18"/>
          <w:szCs w:val="18"/>
          <w:u w:val="single"/>
          <w:lang w:val="es-ES" w:eastAsia="es-ES"/>
        </w:rPr>
      </w:r>
    </w:p>
    <w:tbl>
      <w:tblPr>
        <w:tblW w:w="9061" w:type="dxa"/>
        <w:jc w:val="center"/>
        <w:tblInd w:w="0" w:type="dxa"/>
        <w:tblLayout w:type="fixed"/>
        <w:tblCellMar>
          <w:top w:w="0" w:type="dxa"/>
          <w:left w:w="108" w:type="dxa"/>
          <w:bottom w:w="0" w:type="dxa"/>
          <w:right w:w="108" w:type="dxa"/>
        </w:tblCellMar>
        <w:tblLook w:firstRow="0" w:noVBand="0" w:lastRow="0" w:firstColumn="0" w:lastColumn="0" w:noHBand="0" w:val="0000"/>
      </w:tblPr>
      <w:tblGrid>
        <w:gridCol w:w="9061"/>
      </w:tblGrid>
      <w:tr>
        <w:trPr>
          <w:trHeight w:val="431" w:hRule="atLeast"/>
        </w:trPr>
        <w:tc>
          <w:tcPr>
            <w:tcW w:w="9061" w:type="dxa"/>
            <w:tcBorders>
              <w:top w:val="single" w:sz="8" w:space="0" w:color="F9B074"/>
              <w:left w:val="single" w:sz="8" w:space="0" w:color="F9B074"/>
              <w:bottom w:val="single" w:sz="8" w:space="0" w:color="F9B074"/>
              <w:right w:val="single" w:sz="8" w:space="0" w:color="F9B074"/>
            </w:tcBorders>
            <w:shd w:color="auto" w:fill="F79646" w:val="clear"/>
            <w:vAlign w:val="center"/>
          </w:tcPr>
          <w:p>
            <w:pPr>
              <w:pStyle w:val="NoSpacing"/>
              <w:widowControl w:val="false"/>
              <w:jc w:val="center"/>
              <w:rPr/>
            </w:pPr>
            <w:r>
              <w:rPr>
                <w:rFonts w:cs="Arial" w:ascii="Arial" w:hAnsi="Arial"/>
                <w:b/>
                <w:bCs/>
                <w:sz w:val="18"/>
                <w:szCs w:val="18"/>
                <w:u w:val="single"/>
                <w:lang w:val="es-ES" w:eastAsia="es-ES"/>
              </w:rPr>
              <w:t>POLÍTICAS DE CANCELACIÓN</w:t>
            </w:r>
          </w:p>
        </w:tc>
      </w:tr>
      <w:tr>
        <w:trPr>
          <w:trHeight w:val="1421" w:hRule="atLeast"/>
        </w:trPr>
        <w:tc>
          <w:tcPr>
            <w:tcW w:w="9061" w:type="dxa"/>
            <w:tcBorders>
              <w:left w:val="single" w:sz="8" w:space="0" w:color="F9B074"/>
              <w:bottom w:val="single" w:sz="8" w:space="0" w:color="F9B074"/>
              <w:right w:val="single" w:sz="8" w:space="0" w:color="F9B074"/>
            </w:tcBorders>
            <w:shd w:color="auto" w:fill="FDE4D0" w:val="clear"/>
            <w:vAlign w:val="center"/>
          </w:tcPr>
          <w:p>
            <w:pPr>
              <w:pStyle w:val="NoSpacing"/>
              <w:widowControl w:val="false"/>
              <w:rPr>
                <w:rFonts w:ascii="Arial" w:hAnsi="Arial" w:cs="Arial"/>
                <w:sz w:val="18"/>
                <w:szCs w:val="18"/>
                <w:lang w:val="es-ES"/>
              </w:rPr>
            </w:pPr>
            <w:r>
              <w:rPr>
                <w:rFonts w:cs="Arial" w:ascii="Arial" w:hAnsi="Arial"/>
                <w:sz w:val="18"/>
                <w:szCs w:val="18"/>
                <w:lang w:val="es-ES"/>
              </w:rPr>
              <w:t>Cancelación hasta 21 días antes de la salida                                                        No hay gastos de cancelación</w:t>
            </w:r>
          </w:p>
          <w:p>
            <w:pPr>
              <w:pStyle w:val="NoSpacing"/>
              <w:widowControl w:val="false"/>
              <w:rPr>
                <w:rFonts w:ascii="Arial" w:hAnsi="Arial" w:cs="Arial"/>
                <w:sz w:val="18"/>
                <w:szCs w:val="18"/>
                <w:lang w:val="es-ES"/>
              </w:rPr>
            </w:pPr>
            <w:r>
              <w:rPr>
                <w:rFonts w:cs="Arial" w:ascii="Arial" w:hAnsi="Arial"/>
                <w:sz w:val="18"/>
                <w:szCs w:val="18"/>
                <w:lang w:val="es-ES"/>
              </w:rPr>
              <w:t>Cancelación entre 20 y 14 días antes de la salida                                                         20% del precio del tour</w:t>
            </w:r>
          </w:p>
          <w:p>
            <w:pPr>
              <w:pStyle w:val="NoSpacing"/>
              <w:widowControl w:val="false"/>
              <w:rPr>
                <w:rFonts w:ascii="Arial" w:hAnsi="Arial" w:cs="Arial"/>
                <w:sz w:val="18"/>
                <w:szCs w:val="18"/>
                <w:lang w:val="es-ES"/>
              </w:rPr>
            </w:pPr>
            <w:r>
              <w:rPr>
                <w:rFonts w:cs="Arial" w:ascii="Arial" w:hAnsi="Arial"/>
                <w:sz w:val="18"/>
                <w:szCs w:val="18"/>
                <w:lang w:val="es-ES"/>
              </w:rPr>
              <w:t>Cancelación entre 13 y 8 días antes de la salida                                                           40% del precio del tour</w:t>
            </w:r>
          </w:p>
          <w:p>
            <w:pPr>
              <w:pStyle w:val="NoSpacing"/>
              <w:widowControl w:val="false"/>
              <w:rPr>
                <w:rFonts w:ascii="Arial" w:hAnsi="Arial" w:cs="Arial"/>
                <w:sz w:val="18"/>
                <w:szCs w:val="18"/>
                <w:lang w:val="es-ES"/>
              </w:rPr>
            </w:pPr>
            <w:r>
              <w:rPr>
                <w:rFonts w:cs="Arial" w:ascii="Arial" w:hAnsi="Arial"/>
                <w:sz w:val="18"/>
                <w:szCs w:val="18"/>
                <w:lang w:val="es-ES"/>
              </w:rPr>
              <w:t>Cancelación entre 7 y 4 días antes de la salida                                                             60% del precio del tour</w:t>
            </w:r>
          </w:p>
          <w:p>
            <w:pPr>
              <w:pStyle w:val="NoSpacing"/>
              <w:widowControl w:val="false"/>
              <w:rPr>
                <w:rFonts w:ascii="Arial" w:hAnsi="Arial" w:cs="Arial"/>
                <w:sz w:val="18"/>
                <w:szCs w:val="18"/>
                <w:lang w:val="es-ES"/>
              </w:rPr>
            </w:pPr>
            <w:r>
              <w:rPr>
                <w:rFonts w:cs="Arial" w:ascii="Arial" w:hAnsi="Arial"/>
                <w:sz w:val="18"/>
                <w:szCs w:val="18"/>
                <w:lang w:val="es-ES"/>
              </w:rPr>
              <w:t>Cancelación desde 3 días antes de la salida                                                                 100% del precio del tour</w:t>
            </w:r>
          </w:p>
        </w:tc>
      </w:tr>
    </w:tbl>
    <w:p>
      <w:pPr>
        <w:pStyle w:val="NoSpacing"/>
        <w:widowControl w:val="false"/>
        <w:jc w:val="center"/>
        <w:rPr>
          <w:rFonts w:ascii="Arial" w:hAnsi="Arial" w:cs="Arial"/>
          <w:b/>
          <w:b/>
          <w:sz w:val="18"/>
          <w:szCs w:val="18"/>
          <w:u w:val="single"/>
          <w:lang w:val="es-ES" w:eastAsia="es-ES"/>
        </w:rPr>
      </w:pPr>
      <w:r>
        <w:rPr>
          <w:rFonts w:cs="Arial" w:ascii="Arial" w:hAnsi="Arial"/>
          <w:b/>
          <w:sz w:val="18"/>
          <w:szCs w:val="18"/>
          <w:u w:val="single"/>
          <w:lang w:val="es-ES" w:eastAsia="es-ES"/>
        </w:rPr>
      </w:r>
    </w:p>
    <w:p>
      <w:pPr>
        <w:pStyle w:val="NoSpacing"/>
        <w:widowControl w:val="false"/>
        <w:jc w:val="center"/>
        <w:rPr>
          <w:rFonts w:ascii="Arial" w:hAnsi="Arial" w:cs="Arial"/>
          <w:b/>
          <w:b/>
          <w:sz w:val="18"/>
          <w:szCs w:val="18"/>
          <w:u w:val="single"/>
          <w:lang w:val="es-ES" w:eastAsia="es-ES"/>
        </w:rPr>
      </w:pPr>
      <w:r>
        <w:rPr>
          <w:rFonts w:cs="Arial" w:ascii="Arial" w:hAnsi="Arial"/>
          <w:b/>
          <w:sz w:val="18"/>
          <w:szCs w:val="18"/>
          <w:u w:val="single"/>
          <w:lang w:val="es-ES" w:eastAsia="es-ES"/>
        </w:rPr>
        <w:t>El presente documento es de carácter informativo, más no una confirmación.</w:t>
      </w:r>
    </w:p>
    <w:sectPr>
      <w:headerReference w:type="default" r:id="rId4"/>
      <w:footerReference w:type="default" r:id="rId5"/>
      <w:type w:val="nextPage"/>
      <w:pgSz w:w="11906" w:h="16838"/>
      <w:pgMar w:left="1080" w:right="1080" w:gutter="0" w:header="567" w:top="1440" w:footer="340" w:bottom="993"/>
      <w:pgNumType w:fmt="decimal"/>
      <w:formProt w:val="false"/>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swiss"/>
    <w:pitch w:val="variable"/>
  </w:font>
  <w:font w:name="Liberation Sans">
    <w:altName w:val="Arial"/>
    <w:charset w:val="00"/>
    <w:family w:val="roman"/>
    <w:pitch w:val="variable"/>
  </w:font>
  <w:font w:name="Arial">
    <w:charset w:val="00"/>
    <w:family w:val="roman"/>
    <w:pitch w:val="variable"/>
  </w:font>
  <w:font w:name="Wingdings">
    <w:charset w:val="02"/>
    <w:family w:val="auto"/>
    <w:pitch w:val="variable"/>
  </w:font>
  <w:font w:name="Courier New">
    <w:charset w:val="01"/>
    <w:family w:val="modern"/>
    <w:pitch w:val="fixed"/>
  </w:font>
  <w:font w:name="Symbol">
    <w:charset w:val="02"/>
    <w:family w:val="auto"/>
    <w:pitch w:val="default"/>
  </w:font>
  <w:font w:name="Lucida Sans Unicode">
    <w:charset w:val="01"/>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edepgina"/>
      <w:jc w:val="center"/>
      <w:rPr>
        <w:rFonts w:ascii="Arial" w:hAnsi="Arial" w:cs="Arial"/>
        <w:sz w:val="13"/>
        <w:szCs w:val="13"/>
      </w:rPr>
    </w:pPr>
    <w:r>
      <w:rPr>
        <w:rFonts w:cs="Arial" w:ascii="Arial" w:hAnsi="Arial"/>
        <w:sz w:val="13"/>
        <w:szCs w:val="13"/>
      </w:rPr>
      <w:t>Tel.(52) (55) 4147 – 5780</w:t>
    </w:r>
  </w:p>
  <w:p>
    <w:pPr>
      <w:pStyle w:val="Piedepgina"/>
      <w:jc w:val="center"/>
      <w:rPr>
        <w:rFonts w:ascii="Arial" w:hAnsi="Arial" w:cs="Arial"/>
        <w:sz w:val="13"/>
        <w:szCs w:val="13"/>
      </w:rPr>
    </w:pPr>
    <w:r>
      <w:rPr>
        <w:rFonts w:cs="Arial" w:ascii="Arial" w:hAnsi="Arial"/>
        <w:sz w:val="13"/>
        <w:szCs w:val="13"/>
      </w:rPr>
      <w:t xml:space="preserve">   </w:t>
    </w:r>
    <w:hyperlink r:id="rId1">
      <w:r>
        <w:rPr>
          <w:rStyle w:val="EnlacedeInternet"/>
          <w:rFonts w:cs="Arial" w:ascii="Arial" w:hAnsi="Arial"/>
          <w:sz w:val="13"/>
          <w:szCs w:val="13"/>
        </w:rPr>
        <w:t>www.tourmundial.mx</w:t>
      </w:r>
    </w:hyperlink>
    <w:r>
      <w:rPr>
        <w:rFonts w:cs="Arial" w:ascii="Arial" w:hAnsi="Arial"/>
        <w:sz w:val="13"/>
        <w:szCs w:val="13"/>
      </w:rPr>
      <w:t xml:space="preserve">   </w:t>
    </w:r>
  </w:p>
  <w:p>
    <w:pPr>
      <w:pStyle w:val="Piedepgina"/>
      <w:jc w:val="center"/>
      <w:rPr>
        <w:rFonts w:ascii="Arial" w:hAnsi="Arial" w:cs="Arial"/>
        <w:sz w:val="13"/>
        <w:szCs w:val="13"/>
      </w:rPr>
    </w:pPr>
    <w:hyperlink r:id="rId2">
      <w:r>
        <w:rPr>
          <w:rStyle w:val="EnlacedeInternet"/>
          <w:rFonts w:cs="Arial" w:ascii="Arial" w:hAnsi="Arial"/>
          <w:sz w:val="13"/>
          <w:szCs w:val="13"/>
        </w:rPr>
        <w:t>reservaciones@tourmundial.mx</w:t>
      </w:r>
    </w:hyperlink>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Cabecera"/>
      <w:rPr/>
    </w:pPr>
    <w:r>
      <w:rPr/>
      <mc:AlternateContent>
        <mc:Choice Requires="wps">
          <w:drawing>
            <wp:anchor behindDoc="1" distT="0" distB="0" distL="0" distR="0" simplePos="0" locked="0" layoutInCell="0" allowOverlap="1" relativeHeight="8" wp14:anchorId="7FDCB89B">
              <wp:simplePos x="0" y="0"/>
              <wp:positionH relativeFrom="column">
                <wp:posOffset>-1581150</wp:posOffset>
              </wp:positionH>
              <wp:positionV relativeFrom="paragraph">
                <wp:posOffset>-636270</wp:posOffset>
              </wp:positionV>
              <wp:extent cx="8439150" cy="1162050"/>
              <wp:effectExtent l="0" t="0" r="0" b="0"/>
              <wp:wrapNone/>
              <wp:docPr id="2" name="5 Rectángulo"/>
              <a:graphic xmlns:a="http://schemas.openxmlformats.org/drawingml/2006/main">
                <a:graphicData uri="http://schemas.microsoft.com/office/word/2010/wordprocessingShape">
                  <wps:wsp>
                    <wps:cNvSpPr/>
                    <wps:spPr>
                      <a:xfrm>
                        <a:off x="0" y="0"/>
                        <a:ext cx="8439120" cy="116208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rect id="shape_0" ID="5 Rectángulo" path="m0,0l-2147483645,0l-2147483645,-2147483646l0,-2147483646xe" fillcolor="#bfbfbf" stroked="f" o:allowincell="f" style="position:absolute;margin-left:-124.5pt;margin-top:-50.1pt;width:664.45pt;height:91.45pt;mso-wrap-style:none;v-text-anchor:middle" wp14:anchorId="7FDCB89B">
              <v:fill o:detectmouseclick="t" type="solid" color2="#404040"/>
              <v:stroke color="#3465a4" weight="25560" joinstyle="round" endcap="flat"/>
              <w10:wrap type="none"/>
            </v:rect>
          </w:pict>
        </mc:Fallback>
      </mc:AlternateContent>
      <w:drawing>
        <wp:anchor behindDoc="1" distT="0" distB="0" distL="0" distR="0" simplePos="0" locked="0" layoutInCell="0" allowOverlap="1" relativeHeight="15">
          <wp:simplePos x="0" y="0"/>
          <wp:positionH relativeFrom="column">
            <wp:posOffset>0</wp:posOffset>
          </wp:positionH>
          <wp:positionV relativeFrom="paragraph">
            <wp:posOffset>-259715</wp:posOffset>
          </wp:positionV>
          <wp:extent cx="3005455" cy="725170"/>
          <wp:effectExtent l="0" t="0" r="0" b="0"/>
          <wp:wrapNone/>
          <wp:docPr id="3" name="0 Imagen"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descr=""/>
                  <pic:cNvPicPr>
                    <a:picLocks noChangeAspect="1" noChangeArrowheads="1"/>
                  </pic:cNvPicPr>
                </pic:nvPicPr>
                <pic:blipFill>
                  <a:blip r:embed="rId1"/>
                  <a:stretch>
                    <a:fillRect/>
                  </a:stretch>
                </pic:blipFill>
                <pic:spPr bwMode="auto">
                  <a:xfrm>
                    <a:off x="0" y="0"/>
                    <a:ext cx="3005455" cy="725170"/>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numPicBullet w:numPicBulletId="0">
    <w:pict>
      <v:shape style="width:9pt;height:9pt" o:bullet="t">
        <v:imagedata r:id="rId1" o:title=""/>
      </v:shape>
    </w:pict>
  </w:numPicBullet>
  <w:abstractNum w:abstractNumId="1">
    <w:lvl w:ilvl="0">
      <w:numFmt w:val="bullet"/>
      <w:lvlText w:val=""/>
      <w:lvlJc w:val="left"/>
      <w:pPr>
        <w:tabs>
          <w:tab w:val="num" w:pos="0"/>
        </w:tabs>
        <w:ind w:left="720" w:hanging="360"/>
      </w:pPr>
      <w:rPr>
        <w:rFonts w:ascii="Wingdings" w:hAnsi="Wingdings" w:cs="Wingdings" w:hint="default"/>
        <w:color w:val="auto"/>
      </w:rPr>
    </w:lvl>
    <w:lvl w:ilvl="1">
      <w:start w:val="0"/>
      <w:numFmt w:val="bullet"/>
      <w:lvlText w:val="o"/>
      <w:lvlJc w:val="left"/>
      <w:pPr>
        <w:tabs>
          <w:tab w:val="num" w:pos="0"/>
        </w:tabs>
        <w:ind w:left="1440" w:hanging="360"/>
      </w:pPr>
      <w:rPr>
        <w:rFonts w:ascii="Courier New" w:hAnsi="Courier New" w:cs="Courier New" w:hint="default"/>
      </w:rPr>
    </w:lvl>
    <w:lvl w:ilvl="2">
      <w:start w:val="0"/>
      <w:numFmt w:val="bullet"/>
      <w:lvlText w:val=""/>
      <w:lvlJc w:val="left"/>
      <w:pPr>
        <w:tabs>
          <w:tab w:val="num" w:pos="0"/>
        </w:tabs>
        <w:ind w:left="2160" w:hanging="360"/>
      </w:pPr>
      <w:rPr>
        <w:rFonts w:ascii="Wingdings" w:hAnsi="Wingdings" w:cs="Wingdings" w:hint="default"/>
      </w:rPr>
    </w:lvl>
    <w:lvl w:ilvl="3">
      <w:start w:val="0"/>
      <w:numFmt w:val="bullet"/>
      <w:lvlText w:val=""/>
      <w:lvlJc w:val="left"/>
      <w:pPr>
        <w:tabs>
          <w:tab w:val="num" w:pos="0"/>
        </w:tabs>
        <w:ind w:left="2880" w:hanging="360"/>
      </w:pPr>
      <w:rPr>
        <w:rFonts w:ascii="Symbol" w:hAnsi="Symbol" w:cs="Symbol" w:hint="default"/>
      </w:rPr>
    </w:lvl>
    <w:lvl w:ilvl="4">
      <w:start w:val="0"/>
      <w:numFmt w:val="bullet"/>
      <w:lvlText w:val="o"/>
      <w:lvlJc w:val="left"/>
      <w:pPr>
        <w:tabs>
          <w:tab w:val="num" w:pos="0"/>
        </w:tabs>
        <w:ind w:left="3600" w:hanging="360"/>
      </w:pPr>
      <w:rPr>
        <w:rFonts w:ascii="Courier New" w:hAnsi="Courier New" w:cs="Courier New" w:hint="default"/>
      </w:rPr>
    </w:lvl>
    <w:lvl w:ilvl="5">
      <w:start w:val="0"/>
      <w:numFmt w:val="bullet"/>
      <w:lvlText w:val=""/>
      <w:lvlJc w:val="left"/>
      <w:pPr>
        <w:tabs>
          <w:tab w:val="num" w:pos="0"/>
        </w:tabs>
        <w:ind w:left="4320" w:hanging="360"/>
      </w:pPr>
      <w:rPr>
        <w:rFonts w:ascii="Wingdings" w:hAnsi="Wingdings" w:cs="Wingdings" w:hint="default"/>
      </w:rPr>
    </w:lvl>
    <w:lvl w:ilvl="6">
      <w:start w:val="0"/>
      <w:numFmt w:val="bullet"/>
      <w:lvlText w:val=""/>
      <w:lvlJc w:val="left"/>
      <w:pPr>
        <w:tabs>
          <w:tab w:val="num" w:pos="0"/>
        </w:tabs>
        <w:ind w:left="5040" w:hanging="360"/>
      </w:pPr>
      <w:rPr>
        <w:rFonts w:ascii="Symbol" w:hAnsi="Symbol" w:cs="Symbol" w:hint="default"/>
      </w:rPr>
    </w:lvl>
    <w:lvl w:ilvl="7">
      <w:start w:val="0"/>
      <w:numFmt w:val="bullet"/>
      <w:lvlText w:val="o"/>
      <w:lvlJc w:val="left"/>
      <w:pPr>
        <w:tabs>
          <w:tab w:val="num" w:pos="0"/>
        </w:tabs>
        <w:ind w:left="5760" w:hanging="360"/>
      </w:pPr>
      <w:rPr>
        <w:rFonts w:ascii="Courier New" w:hAnsi="Courier New" w:cs="Courier New" w:hint="default"/>
      </w:rPr>
    </w:lvl>
    <w:lvl w:ilvl="8">
      <w:start w:val="0"/>
      <w:numFmt w:val="bullet"/>
      <w:lvlText w:val=""/>
      <w:lvlJc w:val="left"/>
      <w:pPr>
        <w:tabs>
          <w:tab w:val="num" w:pos="0"/>
        </w:tabs>
        <w:ind w:left="6480" w:hanging="360"/>
      </w:pPr>
      <w:rPr>
        <w:rFonts w:ascii="Wingdings" w:hAnsi="Wingdings" w:cs="Wingdings" w:hint="default"/>
      </w:rPr>
    </w:lvl>
  </w:abstractNum>
  <w:abstractNum w:abstractNumId="2">
    <w:lvl w:ilvl="0">
      <w:numFmt w:val="bullet"/>
      <w:lvlText w:val=""/>
      <w:lvlPicBulletId w:val="0"/>
      <w:lvlJc w:val="left"/>
      <w:pPr>
        <w:tabs>
          <w:tab w:val="num" w:pos="0"/>
        </w:tabs>
        <w:ind w:left="720" w:hanging="360"/>
      </w:pPr>
      <w:rPr>
        <w:rFonts w:ascii="Symbol" w:hAnsi="Symbol" w:cs="Symbol" w:hint="default"/>
        <w:sz w:val="16"/>
      </w:rPr>
    </w:lvl>
    <w:lvl w:ilvl="1">
      <w:start w:val="0"/>
      <w:numFmt w:val="bullet"/>
      <w:lvlText w:val="o"/>
      <w:lvlJc w:val="left"/>
      <w:pPr>
        <w:tabs>
          <w:tab w:val="num" w:pos="0"/>
        </w:tabs>
        <w:ind w:left="1440" w:hanging="360"/>
      </w:pPr>
      <w:rPr>
        <w:rFonts w:ascii="Courier New" w:hAnsi="Courier New" w:cs="Courier New" w:hint="default"/>
      </w:rPr>
    </w:lvl>
    <w:lvl w:ilvl="2">
      <w:start w:val="0"/>
      <w:numFmt w:val="bullet"/>
      <w:lvlText w:val=""/>
      <w:lvlJc w:val="left"/>
      <w:pPr>
        <w:tabs>
          <w:tab w:val="num" w:pos="0"/>
        </w:tabs>
        <w:ind w:left="2160" w:hanging="360"/>
      </w:pPr>
      <w:rPr>
        <w:rFonts w:ascii="Wingdings" w:hAnsi="Wingdings" w:cs="Wingdings" w:hint="default"/>
      </w:rPr>
    </w:lvl>
    <w:lvl w:ilvl="3">
      <w:start w:val="0"/>
      <w:numFmt w:val="bullet"/>
      <w:lvlText w:val=""/>
      <w:lvlJc w:val="left"/>
      <w:pPr>
        <w:tabs>
          <w:tab w:val="num" w:pos="0"/>
        </w:tabs>
        <w:ind w:left="2880" w:hanging="360"/>
      </w:pPr>
      <w:rPr>
        <w:rFonts w:ascii="Symbol" w:hAnsi="Symbol" w:cs="Symbol" w:hint="default"/>
      </w:rPr>
    </w:lvl>
    <w:lvl w:ilvl="4">
      <w:start w:val="0"/>
      <w:numFmt w:val="bullet"/>
      <w:lvlText w:val="o"/>
      <w:lvlJc w:val="left"/>
      <w:pPr>
        <w:tabs>
          <w:tab w:val="num" w:pos="0"/>
        </w:tabs>
        <w:ind w:left="3600" w:hanging="360"/>
      </w:pPr>
      <w:rPr>
        <w:rFonts w:ascii="Courier New" w:hAnsi="Courier New" w:cs="Courier New" w:hint="default"/>
      </w:rPr>
    </w:lvl>
    <w:lvl w:ilvl="5">
      <w:start w:val="0"/>
      <w:numFmt w:val="bullet"/>
      <w:lvlText w:val=""/>
      <w:lvlJc w:val="left"/>
      <w:pPr>
        <w:tabs>
          <w:tab w:val="num" w:pos="0"/>
        </w:tabs>
        <w:ind w:left="4320" w:hanging="360"/>
      </w:pPr>
      <w:rPr>
        <w:rFonts w:ascii="Wingdings" w:hAnsi="Wingdings" w:cs="Wingdings" w:hint="default"/>
      </w:rPr>
    </w:lvl>
    <w:lvl w:ilvl="6">
      <w:start w:val="0"/>
      <w:numFmt w:val="bullet"/>
      <w:lvlText w:val=""/>
      <w:lvlJc w:val="left"/>
      <w:pPr>
        <w:tabs>
          <w:tab w:val="num" w:pos="0"/>
        </w:tabs>
        <w:ind w:left="5040" w:hanging="360"/>
      </w:pPr>
      <w:rPr>
        <w:rFonts w:ascii="Symbol" w:hAnsi="Symbol" w:cs="Symbol" w:hint="default"/>
      </w:rPr>
    </w:lvl>
    <w:lvl w:ilvl="7">
      <w:start w:val="0"/>
      <w:numFmt w:val="bullet"/>
      <w:lvlText w:val="o"/>
      <w:lvlJc w:val="left"/>
      <w:pPr>
        <w:tabs>
          <w:tab w:val="num" w:pos="0"/>
        </w:tabs>
        <w:ind w:left="5760" w:hanging="360"/>
      </w:pPr>
      <w:rPr>
        <w:rFonts w:ascii="Courier New" w:hAnsi="Courier New" w:cs="Courier New" w:hint="default"/>
      </w:rPr>
    </w:lvl>
    <w:lvl w:ilvl="8">
      <w:start w:val="0"/>
      <w:numFmt w:val="bullet"/>
      <w:lvlText w:val=""/>
      <w:lvlJc w:val="left"/>
      <w:pPr>
        <w:tabs>
          <w:tab w:val="num" w:pos="0"/>
        </w:tabs>
        <w:ind w:left="6480" w:hanging="360"/>
      </w:pPr>
      <w:rPr>
        <w:rFonts w:ascii="Wingdings" w:hAnsi="Wingdings" w:cs="Wingdings" w:hint="default"/>
      </w:rPr>
    </w:lvl>
  </w:abstractNum>
  <w:abstractNum w:abstractNumId="3">
    <w:lvl w:ilvl="0">
      <w:numFmt w:val="bullet"/>
      <w:lvlText w:val="-"/>
      <w:lvlJc w:val="left"/>
      <w:pPr>
        <w:tabs>
          <w:tab w:val="num" w:pos="0"/>
        </w:tabs>
        <w:ind w:left="720" w:hanging="360"/>
      </w:pPr>
      <w:rPr>
        <w:rFonts w:ascii="Lucida Sans Unicode" w:hAnsi="Lucida Sans Unicode" w:cs="Lucida Sans Unicode" w:hint="default"/>
        <w:sz w:val="20"/>
      </w:rPr>
    </w:lvl>
    <w:lvl w:ilvl="1">
      <w:start w:val="0"/>
      <w:numFmt w:val="bullet"/>
      <w:lvlText w:val="o"/>
      <w:lvlJc w:val="left"/>
      <w:pPr>
        <w:tabs>
          <w:tab w:val="num" w:pos="0"/>
        </w:tabs>
        <w:ind w:left="1440" w:hanging="360"/>
      </w:pPr>
      <w:rPr>
        <w:rFonts w:ascii="Courier New" w:hAnsi="Courier New" w:cs="Courier New" w:hint="default"/>
      </w:rPr>
    </w:lvl>
    <w:lvl w:ilvl="2">
      <w:start w:val="0"/>
      <w:numFmt w:val="bullet"/>
      <w:lvlText w:val=""/>
      <w:lvlJc w:val="left"/>
      <w:pPr>
        <w:tabs>
          <w:tab w:val="num" w:pos="0"/>
        </w:tabs>
        <w:ind w:left="2160" w:hanging="360"/>
      </w:pPr>
      <w:rPr>
        <w:rFonts w:ascii="Wingdings" w:hAnsi="Wingdings" w:cs="Wingdings" w:hint="default"/>
      </w:rPr>
    </w:lvl>
    <w:lvl w:ilvl="3">
      <w:start w:val="0"/>
      <w:numFmt w:val="bullet"/>
      <w:lvlText w:val=""/>
      <w:lvlJc w:val="left"/>
      <w:pPr>
        <w:tabs>
          <w:tab w:val="num" w:pos="0"/>
        </w:tabs>
        <w:ind w:left="2880" w:hanging="360"/>
      </w:pPr>
      <w:rPr>
        <w:rFonts w:ascii="Symbol" w:hAnsi="Symbol" w:cs="Symbol" w:hint="default"/>
      </w:rPr>
    </w:lvl>
    <w:lvl w:ilvl="4">
      <w:start w:val="0"/>
      <w:numFmt w:val="bullet"/>
      <w:lvlText w:val="o"/>
      <w:lvlJc w:val="left"/>
      <w:pPr>
        <w:tabs>
          <w:tab w:val="num" w:pos="0"/>
        </w:tabs>
        <w:ind w:left="3600" w:hanging="360"/>
      </w:pPr>
      <w:rPr>
        <w:rFonts w:ascii="Courier New" w:hAnsi="Courier New" w:cs="Courier New" w:hint="default"/>
      </w:rPr>
    </w:lvl>
    <w:lvl w:ilvl="5">
      <w:start w:val="0"/>
      <w:numFmt w:val="bullet"/>
      <w:lvlText w:val=""/>
      <w:lvlJc w:val="left"/>
      <w:pPr>
        <w:tabs>
          <w:tab w:val="num" w:pos="0"/>
        </w:tabs>
        <w:ind w:left="4320" w:hanging="360"/>
      </w:pPr>
      <w:rPr>
        <w:rFonts w:ascii="Wingdings" w:hAnsi="Wingdings" w:cs="Wingdings" w:hint="default"/>
      </w:rPr>
    </w:lvl>
    <w:lvl w:ilvl="6">
      <w:start w:val="0"/>
      <w:numFmt w:val="bullet"/>
      <w:lvlText w:val=""/>
      <w:lvlJc w:val="left"/>
      <w:pPr>
        <w:tabs>
          <w:tab w:val="num" w:pos="0"/>
        </w:tabs>
        <w:ind w:left="5040" w:hanging="360"/>
      </w:pPr>
      <w:rPr>
        <w:rFonts w:ascii="Symbol" w:hAnsi="Symbol" w:cs="Symbol" w:hint="default"/>
      </w:rPr>
    </w:lvl>
    <w:lvl w:ilvl="7">
      <w:start w:val="0"/>
      <w:numFmt w:val="bullet"/>
      <w:lvlText w:val="o"/>
      <w:lvlJc w:val="left"/>
      <w:pPr>
        <w:tabs>
          <w:tab w:val="num" w:pos="0"/>
        </w:tabs>
        <w:ind w:left="5760" w:hanging="360"/>
      </w:pPr>
      <w:rPr>
        <w:rFonts w:ascii="Courier New" w:hAnsi="Courier New" w:cs="Courier New" w:hint="default"/>
      </w:rPr>
    </w:lvl>
    <w:lvl w:ilvl="8">
      <w:start w:val="0"/>
      <w:numFmt w:val="bullet"/>
      <w:lvlText w:val=""/>
      <w:lvlJc w:val="left"/>
      <w:pPr>
        <w:tabs>
          <w:tab w:val="num" w:pos="0"/>
        </w:tabs>
        <w:ind w:left="6480" w:hanging="360"/>
      </w:pPr>
      <w:rPr>
        <w:rFonts w:ascii="Wingdings" w:hAnsi="Wingdings" w:cs="Wingdings" w:hint="default"/>
      </w:rPr>
    </w:lvl>
  </w:abstractNum>
  <w:abstractNum w:abstractNumId="4">
    <w:lvl w:ilvl="0">
      <w:numFmt w:val="bullet"/>
      <w:lvlText w:val=""/>
      <w:lvlJc w:val="left"/>
      <w:pPr>
        <w:tabs>
          <w:tab w:val="num" w:pos="0"/>
        </w:tabs>
        <w:ind w:left="360" w:hanging="360"/>
      </w:pPr>
      <w:rPr>
        <w:rFonts w:ascii="Symbol" w:hAnsi="Symbol" w:cs="Symbol" w:hint="default"/>
        <w:rFonts w:eastAsiaTheme="minorHAnsi"/>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5">
    <w:lvl w:ilvl="0">
      <w:numFmt w:val="bullet"/>
      <w:lvlText w:val=""/>
      <w:lvlJc w:val="left"/>
      <w:pPr>
        <w:tabs>
          <w:tab w:val="num" w:pos="0"/>
        </w:tabs>
        <w:ind w:left="360" w:hanging="360"/>
      </w:pPr>
      <w:rPr>
        <w:rFonts w:ascii="Symbol" w:hAnsi="Symbol" w:cs="Symbol" w:hint="default"/>
        <w:rFonts w:eastAsiaTheme="minorHAnsi"/>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6">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lvl w:ilvl="0">
      <w:start w:val="1"/>
      <w:numFmt w:val="bullet"/>
      <w:lvlText w:val=""/>
      <w:lvlJc w:val="left"/>
      <w:pPr>
        <w:tabs>
          <w:tab w:val="num" w:pos="0"/>
        </w:tabs>
        <w:ind w:left="360" w:hanging="36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8">
    <w:lvl w:ilvl="0">
      <w:start w:val="1"/>
      <w:numFmt w:val="bullet"/>
      <w:lvlText w:val=""/>
      <w:lvlJc w:val="left"/>
      <w:pPr>
        <w:tabs>
          <w:tab w:val="num" w:pos="0"/>
        </w:tabs>
        <w:ind w:left="360" w:hanging="360"/>
      </w:pPr>
      <w:rPr>
        <w:rFonts w:ascii="Symbol" w:hAnsi="Symbol" w:cs="Symbol" w:hint="default"/>
        <w:color w:val="4F81BD" w:themeColor="accent1"/>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9">
    <w:lvl w:ilvl="0">
      <w:start w:val="1"/>
      <w:numFmt w:val="bullet"/>
      <w:lvlText w:val=""/>
      <w:lvlJc w:val="left"/>
      <w:pPr>
        <w:tabs>
          <w:tab w:val="num" w:pos="0"/>
        </w:tabs>
        <w:ind w:left="720" w:hanging="360"/>
      </w:pPr>
      <w:rPr>
        <w:rFonts w:ascii="Symbol" w:hAnsi="Symbol" w:cs="Symbol" w:hint="default"/>
        <w:color w:val="4F81BD" w:themeColor="accent1"/>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w="http://schemas.openxmlformats.org/wordprocessingml/2006/main">
  <w:zoom w:percent="8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es-MX"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s-MX"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d5b36"/>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s-ES" w:eastAsia="en-US" w:bidi="ar-SA"/>
    </w:rPr>
  </w:style>
  <w:style w:type="character" w:styleId="DefaultParagraphFont" w:default="1">
    <w:name w:val="Default Paragraph Font"/>
    <w:uiPriority w:val="1"/>
    <w:semiHidden/>
    <w:unhideWhenUsed/>
    <w:qFormat/>
    <w:rPr/>
  </w:style>
  <w:style w:type="character" w:styleId="SinespaciadoCar" w:customStyle="1">
    <w:name w:val="Sin espaciado Car"/>
    <w:link w:val="NoSpacing"/>
    <w:uiPriority w:val="1"/>
    <w:qFormat/>
    <w:rsid w:val="00bd5b36"/>
    <w:rPr>
      <w:rFonts w:ascii="Times New Roman" w:hAnsi="Times New Roman" w:eastAsia="Times New Roman" w:cs="Times New Roman"/>
      <w:sz w:val="24"/>
      <w:szCs w:val="24"/>
      <w:lang w:val="en-US"/>
    </w:rPr>
  </w:style>
  <w:style w:type="character" w:styleId="PiedepginaCar" w:customStyle="1">
    <w:name w:val="Pie de página Car"/>
    <w:basedOn w:val="DefaultParagraphFont"/>
    <w:uiPriority w:val="99"/>
    <w:qFormat/>
    <w:rsid w:val="00bd5b36"/>
    <w:rPr>
      <w:lang w:val="es-ES"/>
    </w:rPr>
  </w:style>
  <w:style w:type="character" w:styleId="EnlacedeInternet">
    <w:name w:val="Enlace de Internet"/>
    <w:basedOn w:val="DefaultParagraphFont"/>
    <w:uiPriority w:val="99"/>
    <w:unhideWhenUsed/>
    <w:rsid w:val="006f3ee9"/>
    <w:rPr>
      <w:color w:val="0000FF" w:themeColor="hyperlink"/>
      <w:u w:val="single"/>
    </w:rPr>
  </w:style>
  <w:style w:type="character" w:styleId="EncabezadoCar" w:customStyle="1">
    <w:name w:val="Encabezado Car"/>
    <w:basedOn w:val="DefaultParagraphFont"/>
    <w:qFormat/>
    <w:rsid w:val="00bd5b36"/>
    <w:rPr>
      <w:lang w:val="es-ES"/>
    </w:rPr>
  </w:style>
  <w:style w:type="character" w:styleId="TextodegloboCar" w:customStyle="1">
    <w:name w:val="Texto de globo Car"/>
    <w:basedOn w:val="DefaultParagraphFont"/>
    <w:link w:val="BalloonText"/>
    <w:uiPriority w:val="99"/>
    <w:semiHidden/>
    <w:qFormat/>
    <w:rsid w:val="002643e9"/>
    <w:rPr>
      <w:rFonts w:ascii="Tahoma" w:hAnsi="Tahoma" w:cs="Tahoma"/>
      <w:sz w:val="16"/>
      <w:szCs w:val="16"/>
      <w:lang w:val="es-ES"/>
    </w:rPr>
  </w:style>
  <w:style w:type="character" w:styleId="Internetlink" w:customStyle="1">
    <w:name w:val="Hyperlink"/>
    <w:basedOn w:val="DefaultParagraphFont"/>
    <w:qFormat/>
    <w:rsid w:val="00253196"/>
    <w:rPr>
      <w:color w:val="0000FF"/>
      <w:u w:val="single"/>
    </w:rPr>
  </w:style>
  <w:style w:type="character" w:styleId="UnresolvedMention">
    <w:name w:val="Unresolved Mention"/>
    <w:basedOn w:val="DefaultParagraphFont"/>
    <w:uiPriority w:val="99"/>
    <w:semiHidden/>
    <w:unhideWhenUsed/>
    <w:qFormat/>
    <w:rsid w:val="006f3ee9"/>
    <w:rPr>
      <w:color w:val="605E5C"/>
      <w:shd w:fill="E1DFDD" w:val="clear"/>
    </w:rPr>
  </w:style>
  <w:style w:type="paragraph" w:styleId="Ttulo">
    <w:name w:val="Título"/>
    <w:basedOn w:val="Normal"/>
    <w:next w:val="Cuerpodetexto"/>
    <w:qFormat/>
    <w:pPr>
      <w:keepNext w:val="true"/>
      <w:spacing w:before="240" w:after="120"/>
    </w:pPr>
    <w:rPr>
      <w:rFonts w:ascii="Liberation Sans" w:hAnsi="Liberation Sans" w:eastAsia="Microsoft YaHei" w:cs="Arial Unicode MS"/>
      <w:sz w:val="28"/>
      <w:szCs w:val="28"/>
    </w:rPr>
  </w:style>
  <w:style w:type="paragraph" w:styleId="Cuerpodetexto">
    <w:name w:val="Body Text"/>
    <w:basedOn w:val="Normal"/>
    <w:pPr>
      <w:spacing w:before="0" w:after="140"/>
    </w:pPr>
    <w:rPr/>
  </w:style>
  <w:style w:type="paragraph" w:styleId="Lista">
    <w:name w:val="List"/>
    <w:basedOn w:val="Cuerpodetexto"/>
    <w:pPr/>
    <w:rPr>
      <w:rFonts w:cs="Arial Unicode MS"/>
    </w:rPr>
  </w:style>
  <w:style w:type="paragraph" w:styleId="Leyenda">
    <w:name w:val="Caption"/>
    <w:basedOn w:val="Normal"/>
    <w:qFormat/>
    <w:pPr>
      <w:suppressLineNumbers/>
      <w:spacing w:before="120" w:after="120"/>
    </w:pPr>
    <w:rPr>
      <w:rFonts w:cs="Arial Unicode MS"/>
      <w:i/>
      <w:iCs/>
      <w:sz w:val="24"/>
      <w:szCs w:val="24"/>
    </w:rPr>
  </w:style>
  <w:style w:type="paragraph" w:styleId="Ndice" w:customStyle="1">
    <w:name w:val="Índice"/>
    <w:basedOn w:val="Normal"/>
    <w:qFormat/>
    <w:pPr>
      <w:suppressLineNumbers/>
    </w:pPr>
    <w:rPr>
      <w:rFonts w:cs="Arial Unicode MS"/>
    </w:rPr>
  </w:style>
  <w:style w:type="paragraph" w:styleId="Ttulogeneral">
    <w:name w:val="Title"/>
    <w:basedOn w:val="Normal"/>
    <w:next w:val="Cuerpodetexto"/>
    <w:qFormat/>
    <w:pPr>
      <w:keepNext w:val="true"/>
      <w:spacing w:before="240" w:after="120"/>
    </w:pPr>
    <w:rPr>
      <w:rFonts w:ascii="Liberation Sans" w:hAnsi="Liberation Sans" w:eastAsia="Microsoft YaHei" w:cs="Arial Unicode MS"/>
      <w:sz w:val="28"/>
      <w:szCs w:val="28"/>
    </w:rPr>
  </w:style>
  <w:style w:type="paragraph" w:styleId="Caption">
    <w:name w:val="caption"/>
    <w:basedOn w:val="Normal"/>
    <w:qFormat/>
    <w:pPr>
      <w:suppressLineNumbers/>
      <w:spacing w:before="120" w:after="120"/>
    </w:pPr>
    <w:rPr>
      <w:rFonts w:cs="Arial Unicode MS"/>
      <w:i/>
      <w:iCs/>
      <w:sz w:val="24"/>
      <w:szCs w:val="24"/>
    </w:rPr>
  </w:style>
  <w:style w:type="paragraph" w:styleId="NoSpacing">
    <w:name w:val="No Spacing"/>
    <w:link w:val="SinespaciadoCar"/>
    <w:uiPriority w:val="1"/>
    <w:qFormat/>
    <w:rsid w:val="00bd5b36"/>
    <w:pPr>
      <w:widowControl/>
      <w:suppressAutoHyphens w:val="true"/>
      <w:bidi w:val="0"/>
      <w:spacing w:before="0" w:after="0"/>
      <w:jc w:val="left"/>
    </w:pPr>
    <w:rPr>
      <w:rFonts w:ascii="Times New Roman" w:hAnsi="Times New Roman" w:eastAsia="Times New Roman" w:cs="Times New Roman"/>
      <w:color w:val="auto"/>
      <w:kern w:val="0"/>
      <w:sz w:val="24"/>
      <w:szCs w:val="24"/>
      <w:lang w:val="en-US" w:eastAsia="en-US" w:bidi="ar-SA"/>
    </w:rPr>
  </w:style>
  <w:style w:type="paragraph" w:styleId="Cabeceraypie" w:customStyle="1">
    <w:name w:val="Cabecera y pie"/>
    <w:basedOn w:val="Normal"/>
    <w:qFormat/>
    <w:pPr/>
    <w:rPr/>
  </w:style>
  <w:style w:type="paragraph" w:styleId="Piedepgina">
    <w:name w:val="Footer"/>
    <w:basedOn w:val="Normal"/>
    <w:link w:val="PiedepginaCar"/>
    <w:uiPriority w:val="99"/>
    <w:unhideWhenUsed/>
    <w:rsid w:val="00bd5b36"/>
    <w:pPr>
      <w:tabs>
        <w:tab w:val="clear" w:pos="708"/>
        <w:tab w:val="center" w:pos="4252" w:leader="none"/>
        <w:tab w:val="right" w:pos="8504" w:leader="none"/>
      </w:tabs>
      <w:spacing w:lineRule="auto" w:line="240" w:before="0" w:after="0"/>
    </w:pPr>
    <w:rPr/>
  </w:style>
  <w:style w:type="paragraph" w:styleId="Cabecera">
    <w:name w:val="Header"/>
    <w:basedOn w:val="Normal"/>
    <w:link w:val="EncabezadoCar"/>
    <w:unhideWhenUsed/>
    <w:rsid w:val="00bd5b36"/>
    <w:pPr>
      <w:tabs>
        <w:tab w:val="clear" w:pos="708"/>
        <w:tab w:val="center" w:pos="4252" w:leader="none"/>
        <w:tab w:val="right" w:pos="8504" w:leader="none"/>
      </w:tabs>
      <w:spacing w:lineRule="auto" w:line="240" w:before="0" w:after="0"/>
    </w:pPr>
    <w:rPr/>
  </w:style>
  <w:style w:type="paragraph" w:styleId="ListParagraph">
    <w:name w:val="List Paragraph"/>
    <w:basedOn w:val="Normal"/>
    <w:qFormat/>
    <w:rsid w:val="00bd5b36"/>
    <w:pPr>
      <w:spacing w:before="0" w:after="200"/>
      <w:ind w:left="720" w:hanging="0"/>
      <w:contextualSpacing/>
    </w:pPr>
    <w:rPr/>
  </w:style>
  <w:style w:type="paragraph" w:styleId="BalloonText">
    <w:name w:val="Balloon Text"/>
    <w:basedOn w:val="Normal"/>
    <w:link w:val="TextodegloboCar"/>
    <w:uiPriority w:val="99"/>
    <w:semiHidden/>
    <w:unhideWhenUsed/>
    <w:qFormat/>
    <w:rsid w:val="002643e9"/>
    <w:pPr>
      <w:spacing w:lineRule="auto" w:line="240" w:before="0" w:after="0"/>
    </w:pPr>
    <w:rPr>
      <w:rFonts w:ascii="Tahoma" w:hAnsi="Tahoma" w:cs="Tahoma"/>
      <w:sz w:val="16"/>
      <w:szCs w:val="16"/>
    </w:rPr>
  </w:style>
  <w:style w:type="paragraph" w:styleId="Contenidodelatabla" w:customStyle="1">
    <w:name w:val="Contenido de la tabla"/>
    <w:basedOn w:val="Normal"/>
    <w:qFormat/>
    <w:pPr>
      <w:widowControl w:val="false"/>
      <w:suppressLineNumbers/>
    </w:pPr>
    <w:rPr/>
  </w:style>
  <w:style w:type="paragraph" w:styleId="Ttulodelatabla" w:customStyle="1">
    <w:name w:val="Título de la tabla"/>
    <w:basedOn w:val="Contenidodelatabla"/>
    <w:qFormat/>
    <w:pPr>
      <w:jc w:val="center"/>
    </w:pPr>
    <w:rPr>
      <w:b/>
      <w:bCs/>
    </w:rPr>
  </w:style>
  <w:style w:type="paragraph" w:styleId="Standard" w:customStyle="1">
    <w:name w:val="Standard"/>
    <w:qFormat/>
    <w:rsid w:val="00253196"/>
    <w:pPr>
      <w:widowControl/>
      <w:suppressAutoHyphens w:val="true"/>
      <w:bidi w:val="0"/>
      <w:spacing w:lineRule="auto" w:line="276" w:before="0" w:after="200"/>
      <w:jc w:val="left"/>
      <w:textAlignment w:val="baseline"/>
    </w:pPr>
    <w:rPr>
      <w:rFonts w:ascii="Calibri" w:hAnsi="Calibri" w:eastAsia="Calibri" w:cs="F" w:asciiTheme="minorHAnsi" w:eastAsiaTheme="minorHAnsi" w:hAnsiTheme="minorHAnsi"/>
      <w:color w:val="auto"/>
      <w:kern w:val="0"/>
      <w:sz w:val="22"/>
      <w:szCs w:val="22"/>
      <w:lang w:val="es-ES" w:eastAsia="en-US" w:bidi="ar-SA"/>
    </w:rPr>
  </w:style>
  <w:style w:type="paragraph" w:styleId="Contenidodelmarco">
    <w:name w:val="Contenido del marco"/>
    <w:basedOn w:val="Normal"/>
    <w:qFormat/>
    <w:pPr/>
    <w:rPr/>
  </w:style>
  <w:style w:type="numbering" w:styleId="NoList" w:default="1">
    <w:name w:val="No List"/>
    <w:uiPriority w:val="99"/>
    <w:semiHidden/>
    <w:unhideWhenUsed/>
    <w:qFormat/>
  </w:style>
  <w:style w:type="table" w:default="1" w:styleId="Tablanormal">
    <w:name w:val="Normal Table"/>
    <w:uiPriority w:val="99"/>
    <w:semiHidden/>
    <w:unhideWhenUsed/>
    <w:tblPr>
      <w:tblCellMar>
        <w:top w:w="0" w:type="dxa"/>
        <w:left w:w="108" w:type="dxa"/>
        <w:bottom w:w="0" w:type="dxa"/>
        <w:right w:w="108" w:type="dxa"/>
      </w:tblCellMar>
    </w:tblPr>
  </w:style>
  <w:style w:type="table" w:styleId="Cuadrculamedia1-nfasis6">
    <w:name w:val="Medium Grid 1 Accent 6"/>
    <w:basedOn w:val="Tablanormal"/>
    <w:uiPriority w:val="67"/>
    <w:rsid w:val="00bd5b36"/>
    <w:rPr>
      <w:lang w:val="es-ES"/>
    </w:r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Pr>
    <w:tcPr>
      <w:shd w:val="clear" w:color="auto" w:fill="FDE4D0" w:themeFill="accent6" w:themeFillTint="3f"/>
    </w:tcPr>
    <w:tblStylePr w:type="firstRow">
      <w:rPr>
        <w:b/>
        <w:bCs/>
      </w:rPr>
      <w:tblPr/>
    </w:tblStylePr>
    <w:tblStylePr w:type="lastRow">
      <w:rPr>
        <w:b/>
        <w:bCs/>
      </w:rPr>
      <w:tblPr/>
      <w:tcPr>
        <w:tcBorders>
          <w:top w:val="single" w:color="F79646" w:themeColor="accent6" w:sz="18" w:space="0"/>
        </w:tcBorders>
      </w:tcPr>
    </w:tblStylePr>
    <w:tblStylePr w:type="firstCol">
      <w:rPr>
        <w:b/>
        <w:bCs/>
      </w:rPr>
      <w:tblPr/>
    </w:tblStylePr>
    <w:tblStylePr w:type="lastCol">
      <w:rPr>
        <w:b/>
        <w:bCs/>
      </w:rPr>
      <w:tbl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Pr>
    <w:tblStylePr w:type="firstRow">
      <w:pPr>
        <w:spacing w:before="0" w:after="0" w:line="240" w:lineRule="auto"/>
      </w:pPr>
      <w:rPr>
        <w:b/>
        <w:bCs/>
        <w:color w:val="FFFFFF" w:themeColor="background1"/>
      </w:rPr>
      <w:tblPr/>
      <w:tcPr>
        <w:tcBorders>
          <w:top w:val="single" w:color="F79646" w:themeColor="accent6" w:sz="8" w:space="0"/>
          <w:left w:val="single" w:color="F79646" w:themeColor="accent6" w:sz="8" w:space="0"/>
          <w:bottom w:val="single" w:color="F79646" w:themeColor="accent6" w:sz="8" w:space="0"/>
          <w:right w:val="single" w:color="F79646" w:themeColor="accent6"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79646" w:themeColor="accent6" w:sz="6" w:space="0"/>
          <w:left w:val="single" w:color="F79646" w:themeColor="accent6" w:sz="8" w:space="0"/>
          <w:bottom w:val="single" w:color="F79646" w:themeColor="accent6" w:sz="8" w:space="0"/>
          <w:right w:val="single" w:color="F79646" w:themeColor="accent6" w:sz="8" w:space="0"/>
          <w:insideH w:val="nil"/>
          <w:insideV w:val="nil"/>
        </w:tcBorders>
      </w:tcPr>
    </w:tblStylePr>
    <w:tblStylePr w:type="firstCol">
      <w:rPr>
        <w:b/>
        <w:bCs/>
      </w:rPr>
      <w:tblPr/>
    </w:tblStylePr>
    <w:tblStylePr w:type="lastCol">
      <w:rPr>
        <w:b/>
        <w:bCs/>
      </w:rPr>
      <w:tbl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lang w:val="es-ES"/>
      <w:color w:val="000000" w:themeColor="text1"/>
    </w:rPr>
    <w:tblPr>
      <w:tblStyleRowBandSize w:val="1"/>
      <w:tblStyleColBandSize w:val="1"/>
      <w:tblBorders>
        <w:top w:val="single" w:color="F79646" w:themeColor="accent6" w:sz="8" w:space="0"/>
        <w:bottom w:val="single" w:color="F79646" w:themeColor="accent6" w:sz="8" w:space="0"/>
      </w:tblBorders>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lang w:val="en-US"/>
      <w:sz w:val="24"/>
      <w:szCs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www.tourmundial.mx/" TargetMode="Externa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Relationship Id="rId11" Type="http://schemas.openxmlformats.org/officeDocument/2006/relationships/customXml" Target="../customXml/item2.xml"/><Relationship Id="rId12" Type="http://schemas.openxmlformats.org/officeDocument/2006/relationships/customXml" Target="../customXml/item3.xml"/><Relationship Id="rId13" Type="http://schemas.openxmlformats.org/officeDocument/2006/relationships/customXml" Target="../customXml/item4.xml"/>
</Relationships>
</file>

<file path=word/_rels/footer1.xml.rels><?xml version="1.0" encoding="UTF-8"?>
<Relationships xmlns="http://schemas.openxmlformats.org/package/2006/relationships"><Relationship Id="rId1" Type="http://schemas.openxmlformats.org/officeDocument/2006/relationships/hyperlink" Target="http://www.tourmundial.mx/" TargetMode="External"/><Relationship Id="rId2" Type="http://schemas.openxmlformats.org/officeDocument/2006/relationships/hyperlink" Target="mailto:reservaciones@tourmundial.mx" TargetMode="External"/>
</Relationships>
</file>

<file path=word/_rels/header1.xml.rels><?xml version="1.0" encoding="UTF-8"?>
<Relationships xmlns="http://schemas.openxmlformats.org/package/2006/relationships"><Relationship Id="rId1" Type="http://schemas.openxmlformats.org/officeDocument/2006/relationships/image" Target="media/image2.png"/>
</Relationships>
</file>

<file path=word/_rels/numbering.xml.rels><?xml version="1.0" encoding="UTF-8"?>
<Relationships xmlns="http://schemas.openxmlformats.org/package/2006/relationships"><Relationship Id="rId1" Type="http://schemas.openxmlformats.org/officeDocument/2006/relationships/image" Target="media/image3.pn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3" ma:contentTypeDescription="Crear nuevo documento." ma:contentTypeScope="" ma:versionID="c88c713ab3b2d6b8aa7adc2c828d8d00">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e8c9ba747bd8a0c0cdb45109b3c8f3ea"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TaxCatchAll xmlns="659cc251-b91d-49c8-941e-02346b220505" xsi:nil="true"/>
  </documentManagement>
</p:properties>
</file>

<file path=customXml/itemProps1.xml><?xml version="1.0" encoding="utf-8"?>
<ds:datastoreItem xmlns:ds="http://schemas.openxmlformats.org/officeDocument/2006/customXml" ds:itemID="{1345428F-AA6F-4301-A5BF-4BCEFEAC6B22}">
  <ds:schemaRefs>
    <ds:schemaRef ds:uri="http://schemas.openxmlformats.org/officeDocument/2006/bibliography"/>
  </ds:schemaRefs>
</ds:datastoreItem>
</file>

<file path=customXml/itemProps2.xml><?xml version="1.0" encoding="utf-8"?>
<ds:datastoreItem xmlns:ds="http://schemas.openxmlformats.org/officeDocument/2006/customXml" ds:itemID="{5699D8CE-4F61-483A-AA4D-2CCCEACFFD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43B4C5B-8F43-469F-AF08-35D7B452D6E7}">
  <ds:schemaRefs>
    <ds:schemaRef ds:uri="http://schemas.microsoft.com/sharepoint/v3/contenttype/forms"/>
  </ds:schemaRefs>
</ds:datastoreItem>
</file>

<file path=customXml/itemProps4.xml><?xml version="1.0" encoding="utf-8"?>
<ds:datastoreItem xmlns:ds="http://schemas.openxmlformats.org/officeDocument/2006/customXml" ds:itemID="{A02A4572-8DAB-4B10-BE6F-C9B88BC7BD6D}">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docProps/app.xml><?xml version="1.0" encoding="utf-8"?>
<Properties xmlns="http://schemas.openxmlformats.org/officeDocument/2006/extended-properties" xmlns:vt="http://schemas.openxmlformats.org/officeDocument/2006/docPropsVTypes">
  <Template>Normal</Template>
  <TotalTime>7</TotalTime>
  <Application>LibreOffice/7.3.4.2$Windows_X86_64 LibreOffice_project/728fec16bd5f605073805c3c9e7c4212a0120dc5</Application>
  <AppVersion>15.0000</AppVersion>
  <Pages>7</Pages>
  <Words>3951</Words>
  <Characters>19644</Characters>
  <CharactersWithSpaces>23739</CharactersWithSpaces>
  <Paragraphs>239</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2024-12-30T16:20:00Z</dcterms:created>
  <dc:creator>V2784160</dc:creator>
  <dc:description/>
  <dc:language>es-ES</dc:language>
  <cp:lastModifiedBy/>
  <cp:lastPrinted>2023-11-03T19:48:00Z</cp:lastPrinted>
  <dcterms:modified xsi:type="dcterms:W3CDTF">2025-02-26T09:49:33Z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ies>
</file>