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XSpec="center" w:tblpY="14" w:topFromText="0" w:vertAnchor="text"/>
        <w:tblW w:w="982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824"/>
      </w:tblGrid>
      <w:tr>
        <w:trPr>
          <w:trHeight w:val="386" w:hRule="atLeast"/>
          <w:cnfStyle w:val="100000000000" w:firstRow="1" w:lastRow="0" w:firstColumn="0" w:lastColumn="0" w:oddVBand="0" w:evenVBand="0" w:oddHBand="0" w:evenHBand="0" w:firstRowFirstColumn="0" w:firstRowLastColumn="0" w:lastRowFirstColumn="0" w:lastRowLastColumn="0"/>
        </w:trPr>
        <w:tc>
          <w:tcPr>
            <w:tcW w:w="9824"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Spacing"/>
              <w:widowControl/>
              <w:spacing w:before="0" w:after="0"/>
              <w:jc w:val="right"/>
              <w:rPr>
                <w:rFonts w:ascii="Arial" w:hAnsi="Arial" w:cs="Arial"/>
                <w:color w:val="E36C0A" w:themeColor="accent6" w:themeShade="bf"/>
                <w:sz w:val="40"/>
                <w:szCs w:val="40"/>
                <w:lang w:val="es-MX" w:eastAsia="es-ES"/>
              </w:rPr>
            </w:pPr>
            <w:r>
              <w:rPr>
                <w:rFonts w:cs="Arial" w:ascii="Arial" w:hAnsi="Arial"/>
                <w:b/>
                <w:bCs/>
                <w:color w:val="E36C0A" w:themeColor="accent6" w:themeShade="bf"/>
                <w:kern w:val="0"/>
                <w:sz w:val="40"/>
                <w:szCs w:val="40"/>
                <w:lang w:val="es-MX" w:eastAsia="es-ES" w:bidi="ar-SA"/>
              </w:rPr>
              <w:t>CONOCE CANADÁ</w:t>
            </w:r>
          </w:p>
        </w:tc>
      </w:tr>
    </w:tbl>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tbl>
      <w:tblPr>
        <w:tblpPr w:bottomFromText="0" w:horzAnchor="margin" w:leftFromText="141" w:rightFromText="141" w:tblpX="0" w:tblpXSpec="center" w:tblpY="52" w:topFromText="0" w:vertAnchor="text"/>
        <w:tblW w:w="9826"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473"/>
        <w:gridCol w:w="8352"/>
      </w:tblGrid>
      <w:tr>
        <w:trPr>
          <w:trHeight w:val="255" w:hRule="atLeast"/>
        </w:trPr>
        <w:tc>
          <w:tcPr>
            <w:tcW w:w="1473" w:type="dxa"/>
            <w:tcBorders>
              <w:top w:val="single" w:sz="4" w:space="0" w:color="E36C0A"/>
              <w:left w:val="single" w:sz="4" w:space="0" w:color="C65911"/>
            </w:tcBorders>
            <w:shd w:color="auto" w:fill="FDE9D9" w:themeFill="accent6" w:themeFillTint="33" w:val="clea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Visitando:</w:t>
            </w:r>
          </w:p>
        </w:tc>
        <w:tc>
          <w:tcPr>
            <w:tcW w:w="8352" w:type="dxa"/>
            <w:tcBorders>
              <w:top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cs="Arial" w:ascii="Arial" w:hAnsi="Arial"/>
                <w:b/>
                <w:bCs/>
                <w:sz w:val="18"/>
                <w:szCs w:val="18"/>
              </w:rPr>
              <w:t>Toronto</w:t>
            </w:r>
            <w:r>
              <w:rPr>
                <w:rFonts w:eastAsia="Times New Roman" w:cs="Arial" w:ascii="Arial" w:hAnsi="Arial"/>
                <w:b/>
                <w:bCs/>
                <w:sz w:val="18"/>
                <w:szCs w:val="18"/>
                <w:lang w:eastAsia="es-ES"/>
              </w:rPr>
              <w:t xml:space="preserve"> – </w:t>
            </w:r>
            <w:r>
              <w:rPr>
                <w:rFonts w:cs="Arial" w:ascii="Arial" w:hAnsi="Arial"/>
                <w:b/>
                <w:bCs/>
                <w:sz w:val="18"/>
                <w:szCs w:val="18"/>
              </w:rPr>
              <w:t>Niágara – Ottawa – Quebec – Montreal</w:t>
            </w:r>
          </w:p>
        </w:tc>
      </w:tr>
      <w:tr>
        <w:trPr>
          <w:trHeight w:val="255" w:hRule="atLeast"/>
        </w:trPr>
        <w:tc>
          <w:tcPr>
            <w:tcW w:w="1473" w:type="dxa"/>
            <w:tcBorders>
              <w:left w:val="single" w:sz="4" w:space="0" w:color="C65911"/>
            </w:tcBorders>
            <w:shd w:color="auto" w:fill="FDE9D9" w:themeFill="accent6" w:themeFillTint="33" w:val="clea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Salidas:</w:t>
            </w:r>
          </w:p>
        </w:tc>
        <w:tc>
          <w:tcPr>
            <w:tcW w:w="8352" w:type="dxa"/>
            <w:tcBorders>
              <w:bottom w:val="single" w:sz="4" w:space="0" w:color="FDE9D9"/>
              <w:right w:val="single" w:sz="4" w:space="0" w:color="C65911"/>
            </w:tcBorders>
            <w:shd w:color="auto" w:fill="FDE9D9" w:themeFill="accent6" w:themeFillTint="33" w:val="clear"/>
            <w:vAlign w:val="center"/>
          </w:tcPr>
          <w:p>
            <w:pPr>
              <w:pStyle w:val="Normal"/>
              <w:widowControl w:val="false"/>
              <w:spacing w:before="0" w:after="0"/>
              <w:rPr>
                <w:rFonts w:ascii="Arial" w:hAnsi="Arial" w:cs="Arial"/>
                <w:b/>
                <w:b/>
                <w:bCs/>
                <w:color w:val="FF0000"/>
                <w:sz w:val="18"/>
                <w:szCs w:val="18"/>
              </w:rPr>
            </w:pPr>
            <w:r>
              <w:rPr>
                <w:rFonts w:cs="Arial" w:ascii="Arial" w:hAnsi="Arial"/>
                <w:b/>
                <w:bCs/>
                <w:color w:val="FF0000"/>
                <w:sz w:val="18"/>
                <w:szCs w:val="18"/>
              </w:rPr>
              <w:t>2023</w:t>
            </w:r>
          </w:p>
          <w:p>
            <w:pPr>
              <w:pStyle w:val="Normal"/>
              <w:widowControl w:val="false"/>
              <w:spacing w:before="0" w:after="0"/>
              <w:rPr>
                <w:rFonts w:ascii="Arial" w:hAnsi="Arial" w:cs="Arial"/>
                <w:b/>
                <w:b/>
                <w:bCs/>
                <w:sz w:val="18"/>
                <w:szCs w:val="18"/>
              </w:rPr>
            </w:pPr>
            <w:r>
              <w:rPr>
                <w:rFonts w:cs="Arial" w:ascii="Arial" w:hAnsi="Arial"/>
                <w:b/>
                <w:bCs/>
                <w:sz w:val="18"/>
                <w:szCs w:val="18"/>
              </w:rPr>
              <w:t>Octubre 02, 09 y 15, 22, 29</w:t>
            </w:r>
          </w:p>
          <w:p>
            <w:pPr>
              <w:pStyle w:val="Normal"/>
              <w:widowControl w:val="false"/>
              <w:spacing w:before="0" w:after="0"/>
              <w:rPr>
                <w:rFonts w:ascii="Arial" w:hAnsi="Arial" w:cs="Arial"/>
                <w:b/>
                <w:b/>
                <w:bCs/>
                <w:sz w:val="18"/>
                <w:szCs w:val="18"/>
              </w:rPr>
            </w:pPr>
            <w:r>
              <w:rPr>
                <w:rFonts w:cs="Arial" w:ascii="Arial" w:hAnsi="Arial"/>
                <w:b/>
                <w:bCs/>
                <w:sz w:val="18"/>
                <w:szCs w:val="18"/>
              </w:rPr>
              <w:t>Noviembre 05, 12, 19, 26</w:t>
            </w:r>
          </w:p>
          <w:p>
            <w:pPr>
              <w:pStyle w:val="Normal"/>
              <w:widowControl w:val="false"/>
              <w:spacing w:before="0" w:after="0"/>
              <w:rPr>
                <w:rFonts w:ascii="Arial" w:hAnsi="Arial" w:cs="Arial"/>
                <w:b/>
                <w:b/>
                <w:bCs/>
                <w:sz w:val="18"/>
                <w:szCs w:val="18"/>
              </w:rPr>
            </w:pPr>
            <w:r>
              <w:rPr>
                <w:rFonts w:cs="Arial" w:ascii="Arial" w:hAnsi="Arial"/>
                <w:b/>
                <w:bCs/>
                <w:sz w:val="18"/>
                <w:szCs w:val="18"/>
              </w:rPr>
              <w:t xml:space="preserve">Diciembre 03, 10, 20, 27 </w:t>
            </w:r>
          </w:p>
          <w:p>
            <w:pPr>
              <w:pStyle w:val="Normal"/>
              <w:widowControl w:val="false"/>
              <w:spacing w:before="0" w:after="0"/>
              <w:rPr>
                <w:rFonts w:ascii="Arial" w:hAnsi="Arial" w:cs="Arial"/>
                <w:b/>
                <w:b/>
                <w:bCs/>
                <w:color w:val="FF0000"/>
                <w:sz w:val="18"/>
                <w:szCs w:val="18"/>
              </w:rPr>
            </w:pPr>
            <w:r>
              <w:rPr>
                <w:rFonts w:cs="Arial" w:ascii="Arial" w:hAnsi="Arial"/>
                <w:b/>
                <w:bCs/>
                <w:color w:val="FF0000"/>
                <w:sz w:val="18"/>
                <w:szCs w:val="18"/>
              </w:rPr>
              <w:t>2024</w:t>
            </w:r>
          </w:p>
          <w:p>
            <w:pPr>
              <w:pStyle w:val="Normal"/>
              <w:widowControl w:val="false"/>
              <w:spacing w:before="0" w:after="0"/>
              <w:rPr>
                <w:rFonts w:ascii="Arial" w:hAnsi="Arial" w:cs="Arial"/>
                <w:b/>
                <w:b/>
                <w:bCs/>
                <w:sz w:val="18"/>
                <w:szCs w:val="18"/>
              </w:rPr>
            </w:pPr>
            <w:r>
              <w:rPr>
                <w:rFonts w:cs="Arial" w:ascii="Arial" w:hAnsi="Arial"/>
                <w:b/>
                <w:bCs/>
                <w:sz w:val="18"/>
                <w:szCs w:val="18"/>
              </w:rPr>
              <w:t>Marzo 03, 10, 17, 24, 31</w:t>
            </w:r>
          </w:p>
          <w:p>
            <w:pPr>
              <w:pStyle w:val="Normal"/>
              <w:widowControl w:val="false"/>
              <w:spacing w:before="0" w:after="0"/>
              <w:rPr>
                <w:rFonts w:ascii="Arial" w:hAnsi="Arial" w:cs="Arial"/>
                <w:b/>
                <w:b/>
                <w:bCs/>
                <w:sz w:val="18"/>
                <w:szCs w:val="18"/>
              </w:rPr>
            </w:pPr>
            <w:r>
              <w:rPr>
                <w:rFonts w:cs="Arial" w:ascii="Arial" w:hAnsi="Arial"/>
                <w:b/>
                <w:bCs/>
                <w:sz w:val="18"/>
                <w:szCs w:val="18"/>
              </w:rPr>
              <w:t xml:space="preserve">Abril 07, 14, 21, 28      </w:t>
            </w:r>
          </w:p>
          <w:p>
            <w:pPr>
              <w:pStyle w:val="Normal"/>
              <w:widowControl w:val="false"/>
              <w:spacing w:before="0" w:after="0"/>
              <w:rPr>
                <w:rFonts w:ascii="Arial" w:hAnsi="Arial" w:cs="Arial"/>
                <w:b/>
                <w:b/>
                <w:bCs/>
                <w:sz w:val="18"/>
                <w:szCs w:val="18"/>
              </w:rPr>
            </w:pPr>
            <w:r>
              <w:rPr>
                <w:rFonts w:cs="Arial" w:ascii="Arial" w:hAnsi="Arial"/>
                <w:b/>
                <w:bCs/>
                <w:sz w:val="18"/>
                <w:szCs w:val="18"/>
              </w:rPr>
              <w:t>Mayo 06, 13, 20, 27</w:t>
            </w:r>
          </w:p>
          <w:p>
            <w:pPr>
              <w:pStyle w:val="Normal"/>
              <w:widowControl w:val="false"/>
              <w:spacing w:before="0" w:after="0"/>
              <w:rPr>
                <w:rFonts w:ascii="Arial" w:hAnsi="Arial" w:cs="Arial"/>
                <w:b/>
                <w:b/>
                <w:bCs/>
                <w:sz w:val="18"/>
                <w:szCs w:val="18"/>
              </w:rPr>
            </w:pPr>
            <w:r>
              <w:rPr>
                <w:rFonts w:cs="Arial" w:ascii="Arial" w:hAnsi="Arial"/>
                <w:b/>
                <w:bCs/>
                <w:sz w:val="18"/>
                <w:szCs w:val="18"/>
              </w:rPr>
              <w:t>Junio 03, 10, 17, 24</w:t>
            </w:r>
          </w:p>
          <w:p>
            <w:pPr>
              <w:pStyle w:val="Normal"/>
              <w:widowControl w:val="false"/>
              <w:spacing w:before="0" w:after="0"/>
              <w:rPr>
                <w:rFonts w:ascii="Arial" w:hAnsi="Arial" w:cs="Arial"/>
                <w:b/>
                <w:b/>
                <w:bCs/>
                <w:sz w:val="18"/>
                <w:szCs w:val="18"/>
              </w:rPr>
            </w:pPr>
            <w:r>
              <w:rPr>
                <w:rFonts w:cs="Arial" w:ascii="Arial" w:hAnsi="Arial"/>
                <w:b/>
                <w:bCs/>
                <w:sz w:val="18"/>
                <w:szCs w:val="18"/>
              </w:rPr>
              <w:t>Julio 01, 08, 15, 22, 29</w:t>
            </w:r>
          </w:p>
          <w:p>
            <w:pPr>
              <w:pStyle w:val="Normal"/>
              <w:widowControl w:val="false"/>
              <w:spacing w:before="0" w:after="0"/>
              <w:rPr>
                <w:rFonts w:ascii="Arial" w:hAnsi="Arial" w:cs="Arial"/>
                <w:b/>
                <w:b/>
                <w:bCs/>
                <w:sz w:val="18"/>
                <w:szCs w:val="18"/>
              </w:rPr>
            </w:pPr>
            <w:r>
              <w:rPr>
                <w:rFonts w:cs="Arial" w:ascii="Arial" w:hAnsi="Arial"/>
                <w:b/>
                <w:bCs/>
                <w:sz w:val="18"/>
                <w:szCs w:val="18"/>
              </w:rPr>
              <w:t>Agosto 01, 05, 12, 19, 26</w:t>
            </w:r>
          </w:p>
          <w:p>
            <w:pPr>
              <w:pStyle w:val="Normal"/>
              <w:widowControl w:val="false"/>
              <w:spacing w:before="0" w:after="0"/>
              <w:rPr>
                <w:rFonts w:ascii="Arial" w:hAnsi="Arial" w:cs="Arial"/>
                <w:b/>
                <w:b/>
                <w:bCs/>
                <w:sz w:val="18"/>
                <w:szCs w:val="18"/>
              </w:rPr>
            </w:pPr>
            <w:r>
              <w:rPr>
                <w:rFonts w:cs="Arial" w:ascii="Arial" w:hAnsi="Arial"/>
                <w:b/>
                <w:bCs/>
                <w:sz w:val="18"/>
                <w:szCs w:val="18"/>
              </w:rPr>
              <w:t>Septiembre 02, 09, 16, 23, 30</w:t>
            </w:r>
          </w:p>
          <w:p>
            <w:pPr>
              <w:pStyle w:val="Normal"/>
              <w:widowControl w:val="false"/>
              <w:spacing w:before="0" w:after="0"/>
              <w:rPr>
                <w:rFonts w:ascii="Arial" w:hAnsi="Arial" w:cs="Arial"/>
                <w:b/>
                <w:b/>
                <w:bCs/>
                <w:sz w:val="18"/>
                <w:szCs w:val="18"/>
              </w:rPr>
            </w:pPr>
            <w:r>
              <w:rPr>
                <w:rFonts w:cs="Arial" w:ascii="Arial" w:hAnsi="Arial"/>
                <w:b/>
                <w:bCs/>
                <w:sz w:val="18"/>
                <w:szCs w:val="18"/>
              </w:rPr>
              <w:t>Octubre 07, 14</w:t>
            </w:r>
          </w:p>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r>
          </w:p>
        </w:tc>
      </w:tr>
      <w:tr>
        <w:trPr>
          <w:trHeight w:val="255" w:hRule="atLeast"/>
        </w:trPr>
        <w:tc>
          <w:tcPr>
            <w:tcW w:w="1473"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Duración:</w:t>
            </w:r>
          </w:p>
        </w:tc>
        <w:tc>
          <w:tcPr>
            <w:tcW w:w="8352" w:type="dxa"/>
            <w:tcBorders>
              <w:top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07 días / 06 noches</w:t>
            </w:r>
          </w:p>
        </w:tc>
      </w:tr>
      <w:tr>
        <w:trPr>
          <w:trHeight w:val="255" w:hRule="atLeast"/>
        </w:trPr>
        <w:tc>
          <w:tcPr>
            <w:tcW w:w="1473" w:type="dxa"/>
            <w:tcBorders>
              <w:left w:val="single" w:sz="4" w:space="0" w:color="C65911"/>
              <w:bottom w:val="single" w:sz="4" w:space="0" w:color="E36C0A"/>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Alimentos:</w:t>
            </w:r>
          </w:p>
        </w:tc>
        <w:tc>
          <w:tcPr>
            <w:tcW w:w="8352" w:type="dxa"/>
            <w:tcBorders>
              <w:bottom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06 desayunos</w:t>
            </w:r>
          </w:p>
        </w:tc>
      </w:tr>
    </w:tbl>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drawing>
          <wp:anchor behindDoc="0" distT="0" distB="0" distL="0" distR="114300" simplePos="0" locked="0" layoutInCell="0" allowOverlap="1" relativeHeight="8">
            <wp:simplePos x="0" y="0"/>
            <wp:positionH relativeFrom="margin">
              <wp:align>left</wp:align>
            </wp:positionH>
            <wp:positionV relativeFrom="margin">
              <wp:posOffset>2915920</wp:posOffset>
            </wp:positionV>
            <wp:extent cx="6202680" cy="1936115"/>
            <wp:effectExtent l="0" t="0" r="0" b="0"/>
            <wp:wrapSquare wrapText="bothSides"/>
            <wp:docPr id="1" name="Imagen 4" descr="Best Things to Do in Quebec City: French Canadian History, Food, &amp; More -  Thril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Best Things to Do in Quebec City: French Canadian History, Food, &amp; More -  Thrillist"/>
                    <pic:cNvPicPr>
                      <a:picLocks noChangeAspect="1" noChangeArrowheads="1"/>
                    </pic:cNvPicPr>
                  </pic:nvPicPr>
                  <pic:blipFill>
                    <a:blip r:embed="rId2"/>
                    <a:srcRect l="0" t="6280" r="0" b="34102"/>
                    <a:stretch>
                      <a:fillRect/>
                    </a:stretch>
                  </pic:blipFill>
                  <pic:spPr bwMode="auto">
                    <a:xfrm>
                      <a:off x="0" y="0"/>
                      <a:ext cx="6202680" cy="1936115"/>
                    </a:xfrm>
                    <a:prstGeom prst="rect">
                      <a:avLst/>
                    </a:prstGeom>
                  </pic:spPr>
                </pic:pic>
              </a:graphicData>
            </a:graphic>
          </wp:anchor>
        </w:drawing>
      </w:r>
    </w:p>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p>
      <w:pPr>
        <w:pStyle w:val="Normal"/>
        <w:spacing w:lineRule="auto" w:line="240" w:before="0" w:after="0"/>
        <w:jc w:val="both"/>
        <w:rPr>
          <w:rFonts w:ascii="Arial" w:hAnsi="Arial" w:eastAsia="Times New Roman" w:cs="Arial"/>
          <w:color w:val="000000"/>
          <w:sz w:val="4"/>
          <w:szCs w:val="14"/>
          <w:lang w:eastAsia="es-ES"/>
        </w:rPr>
      </w:pPr>
      <w:r>
        <w:rPr>
          <w:rFonts w:eastAsia="Times New Roman" w:cs="Arial" w:ascii="Arial" w:hAnsi="Arial"/>
          <w:color w:val="000000"/>
          <w:sz w:val="4"/>
          <w:szCs w:val="14"/>
          <w:lang w:eastAsia="es-ES"/>
        </w:rPr>
      </w:r>
    </w:p>
    <w:p>
      <w:pPr>
        <w:pStyle w:val="Normal"/>
        <w:spacing w:lineRule="auto" w:line="240" w:before="0" w:after="0"/>
        <w:jc w:val="center"/>
        <w:rPr>
          <w:rFonts w:ascii="Arial" w:hAnsi="Arial" w:eastAsia="Times New Roman" w:cs="Arial"/>
          <w:b/>
          <w:b/>
          <w:color w:val="E36C0A" w:themeColor="accent6" w:themeShade="bf"/>
          <w:sz w:val="2"/>
          <w:szCs w:val="2"/>
          <w:u w:val="single"/>
          <w:lang w:eastAsia="es-ES"/>
        </w:rPr>
      </w:pPr>
      <w:r>
        <w:rPr>
          <w:rFonts w:eastAsia="Times New Roman" w:cs="Arial" w:ascii="Arial" w:hAnsi="Arial"/>
          <w:b/>
          <w:color w:val="E36C0A" w:themeColor="accent6" w:themeShade="bf"/>
          <w:sz w:val="2"/>
          <w:szCs w:val="2"/>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sz w:val="8"/>
          <w:szCs w:val="10"/>
          <w:lang w:val="es-ES_tradnl" w:eastAsia="es-ES"/>
        </w:rPr>
      </w:pPr>
      <w:r>
        <w:rPr>
          <w:rFonts w:eastAsia="Times New Roman" w:cs="Arial" w:ascii="Arial" w:hAnsi="Arial"/>
          <w:b/>
          <w:sz w:val="8"/>
          <w:szCs w:val="10"/>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1</w:t>
        <w:tab/>
        <w:t>Toronto</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cs="Arial" w:ascii="Arial" w:hAnsi="Arial"/>
          <w:sz w:val="18"/>
          <w:szCs w:val="18"/>
        </w:rPr>
        <w:t>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el Puerto de Toronto que adquiere particular vida por la tarde.</w:t>
      </w:r>
      <w:r>
        <w:rPr>
          <w:rFonts w:eastAsia="Times New Roman" w:cs="Arial" w:ascii="Arial" w:hAnsi="Arial"/>
          <w:b/>
          <w:color w:val="E36C0A" w:themeColor="accent6" w:themeShade="bf"/>
          <w:sz w:val="18"/>
          <w:szCs w:val="18"/>
          <w:lang w:val="es-ES_tradnl" w:eastAsia="es-ES"/>
        </w:rPr>
        <w:t xml:space="preserve"> </w:t>
      </w:r>
    </w:p>
    <w:p>
      <w:pPr>
        <w:pStyle w:val="Normal"/>
        <w:spacing w:lineRule="auto" w:line="240" w:before="0" w:after="0"/>
        <w:jc w:val="both"/>
        <w:rPr>
          <w:rFonts w:ascii="Arial" w:hAnsi="Arial" w:eastAsia="Times New Roman" w:cs="Arial"/>
          <w:b/>
          <w:b/>
          <w:color w:val="E36C0A" w:themeColor="accent6" w:themeShade="bf"/>
          <w:sz w:val="14"/>
          <w:szCs w:val="14"/>
          <w:lang w:val="es-ES_tradnl" w:eastAsia="es-ES"/>
        </w:rPr>
      </w:pPr>
      <w:r>
        <w:rPr>
          <w:rFonts w:eastAsia="Times New Roman" w:cs="Arial" w:ascii="Arial" w:hAnsi="Arial"/>
          <w:b/>
          <w:color w:val="E36C0A" w:themeColor="accent6" w:themeShade="bf"/>
          <w:sz w:val="14"/>
          <w:szCs w:val="14"/>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2</w:t>
        <w:tab/>
        <w:t xml:space="preserve">Toronto – Niagara </w:t>
      </w:r>
    </w:p>
    <w:p>
      <w:pPr>
        <w:pStyle w:val="Normal"/>
        <w:spacing w:before="0" w:after="0"/>
        <w:jc w:val="both"/>
        <w:rPr>
          <w:rFonts w:ascii="Arial" w:hAnsi="Arial" w:cs="Arial"/>
          <w:sz w:val="18"/>
          <w:szCs w:val="18"/>
        </w:rPr>
      </w:pPr>
      <w:r>
        <w:rPr>
          <w:rFonts w:cs="Arial" w:ascii="Arial" w:hAnsi="Arial"/>
          <w:b/>
          <w:bCs/>
          <w:i/>
          <w:iCs/>
          <w:sz w:val="18"/>
          <w:szCs w:val="18"/>
          <w:u w:val="single"/>
        </w:rPr>
        <w:t>Desayuno</w:t>
      </w:r>
      <w:r>
        <w:rPr>
          <w:rFonts w:cs="Arial" w:ascii="Arial" w:hAnsi="Arial"/>
          <w:i/>
          <w:iCs/>
          <w:sz w:val="18"/>
          <w:szCs w:val="18"/>
          <w:u w:val="single"/>
        </w:rPr>
        <w:t>.</w:t>
      </w:r>
      <w:r>
        <w:rPr>
          <w:rFonts w:cs="Arial" w:ascii="Arial" w:hAnsi="Arial"/>
          <w:sz w:val="18"/>
          <w:szCs w:val="18"/>
        </w:rPr>
        <w:t xml:space="preserve"> 07:45 Encuentro con su guía en el lobby y salida para inicio de su viaje.</w:t>
      </w:r>
      <w:r>
        <w:rPr>
          <w:rFonts w:cs="Arial" w:ascii="Arial" w:hAnsi="Arial"/>
          <w:b/>
          <w:sz w:val="18"/>
          <w:szCs w:val="18"/>
        </w:rPr>
        <w:t xml:space="preserve"> </w:t>
      </w:r>
      <w:r>
        <w:rPr>
          <w:rFonts w:cs="Arial" w:ascii="Arial" w:hAnsi="Arial"/>
          <w:sz w:val="18"/>
          <w:szCs w:val="18"/>
        </w:rPr>
        <w:t>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año. Salida para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Aventura en el barco Hornblower</w:t>
      </w:r>
      <w:r>
        <w:rPr>
          <w:rFonts w:cs="Arial" w:ascii="Arial" w:hAnsi="Arial"/>
          <w:b/>
          <w:bCs/>
          <w:sz w:val="18"/>
          <w:szCs w:val="18"/>
        </w:rPr>
        <w:t xml:space="preserve">. </w:t>
      </w:r>
      <w:r>
        <w:rPr>
          <w:rFonts w:cs="Arial" w:ascii="Arial" w:hAnsi="Arial"/>
          <w:sz w:val="18"/>
          <w:szCs w:val="18"/>
        </w:rPr>
        <w:t xml:space="preserve">Parada en el Table Rock para observar estas maravillosas cataratas. </w:t>
      </w:r>
      <w:r>
        <w:rPr>
          <w:rFonts w:cs="Arial" w:ascii="Arial" w:hAnsi="Arial"/>
          <w:bCs/>
          <w:i/>
          <w:iCs/>
          <w:sz w:val="18"/>
          <w:szCs w:val="18"/>
        </w:rPr>
        <w:t>Almuerzo opcional con costo en Restaurante Skylon con vistas a las cataratas.</w:t>
      </w:r>
      <w:r>
        <w:rPr>
          <w:rFonts w:cs="Arial" w:ascii="Arial" w:hAnsi="Arial"/>
          <w:sz w:val="18"/>
          <w:szCs w:val="18"/>
        </w:rPr>
        <w:t xml:space="preserve"> Llegada a nuestro hotel en Niágara Falls. </w:t>
      </w:r>
    </w:p>
    <w:p>
      <w:pPr>
        <w:pStyle w:val="Normal"/>
        <w:spacing w:before="0" w:after="0"/>
        <w:jc w:val="both"/>
        <w:rPr>
          <w:rFonts w:ascii="Arial" w:hAnsi="Arial" w:cs="Arial"/>
          <w:b/>
          <w:b/>
          <w:sz w:val="12"/>
          <w:szCs w:val="12"/>
        </w:rPr>
      </w:pPr>
      <w:r>
        <w:rPr>
          <w:rFonts w:cs="Arial" w:ascii="Arial" w:hAnsi="Arial"/>
          <w:b/>
          <w:sz w:val="12"/>
          <w:szCs w:val="12"/>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3</w:t>
        <w:tab/>
        <w:t xml:space="preserve">Niagara – Mil Islas – Ottawa   </w:t>
      </w:r>
    </w:p>
    <w:p>
      <w:pPr>
        <w:pStyle w:val="Normal"/>
        <w:spacing w:before="0" w:after="0"/>
        <w:jc w:val="both"/>
        <w:rPr>
          <w:rFonts w:ascii="Arial" w:hAnsi="Arial" w:eastAsia="Times New Roman" w:cs="Arial"/>
          <w:b/>
          <w:b/>
          <w:i/>
          <w:i/>
          <w:color w:val="000000" w:themeColor="text1"/>
          <w:sz w:val="18"/>
          <w:szCs w:val="18"/>
          <w:lang w:val="es-ES_tradnl" w:eastAsia="es-ES"/>
        </w:rPr>
      </w:pPr>
      <w:r>
        <w:rPr>
          <w:rFonts w:eastAsia="Times New Roman" w:cs="Arial" w:ascii="Arial" w:hAnsi="Arial"/>
          <w:b/>
          <w:i/>
          <w:color w:val="000000" w:themeColor="text1"/>
          <w:sz w:val="18"/>
          <w:szCs w:val="18"/>
          <w:u w:val="single"/>
          <w:lang w:val="es-ES_tradnl" w:eastAsia="es-ES"/>
        </w:rPr>
        <w:t>Desayuno.</w:t>
      </w:r>
      <w:r>
        <w:rPr>
          <w:rFonts w:eastAsia="Times New Roman" w:cs="Arial" w:ascii="Arial" w:hAnsi="Arial"/>
          <w:b/>
          <w:i/>
          <w:color w:val="000000" w:themeColor="text1"/>
          <w:sz w:val="18"/>
          <w:szCs w:val="18"/>
          <w:lang w:val="es-ES_tradnl" w:eastAsia="es-ES"/>
        </w:rPr>
        <w:t xml:space="preserve">  </w:t>
      </w:r>
    </w:p>
    <w:p>
      <w:pPr>
        <w:pStyle w:val="Normal"/>
        <w:spacing w:before="0" w:after="0"/>
        <w:jc w:val="both"/>
        <w:rPr>
          <w:rFonts w:ascii="Arial" w:hAnsi="Arial" w:eastAsia="Times New Roman" w:cs="Arial"/>
          <w:b/>
          <w:b/>
          <w:i/>
          <w:i/>
          <w:color w:val="000000" w:themeColor="text1"/>
          <w:sz w:val="18"/>
          <w:szCs w:val="18"/>
          <w:lang w:val="es-ES_tradnl" w:eastAsia="es-ES"/>
        </w:rPr>
      </w:pPr>
      <w:r>
        <w:rPr>
          <w:rFonts w:eastAsia="Times New Roman" w:cs="Arial" w:ascii="Arial" w:hAnsi="Arial"/>
          <w:b/>
          <w:i/>
          <w:color w:val="000000" w:themeColor="text1"/>
          <w:sz w:val="18"/>
          <w:szCs w:val="18"/>
          <w:lang w:val="es-ES_tradnl" w:eastAsia="es-ES"/>
        </w:rPr>
      </w:r>
    </w:p>
    <w:p>
      <w:pPr>
        <w:pStyle w:val="Normal"/>
        <w:spacing w:before="0" w:after="0"/>
        <w:jc w:val="both"/>
        <w:rPr>
          <w:rFonts w:ascii="Arial" w:hAnsi="Arial" w:eastAsia="Times New Roman" w:cs="Arial"/>
          <w:b/>
          <w:b/>
          <w:i/>
          <w:i/>
          <w:color w:val="000000" w:themeColor="text1"/>
          <w:sz w:val="18"/>
          <w:szCs w:val="18"/>
          <w:lang w:val="es-ES_tradnl" w:eastAsia="es-ES"/>
        </w:rPr>
      </w:pPr>
      <w:r>
        <w:rPr>
          <w:rFonts w:eastAsia="Times New Roman" w:cs="Arial" w:ascii="Arial" w:hAnsi="Arial"/>
          <w:b/>
          <w:i/>
          <w:color w:val="000000" w:themeColor="text1"/>
          <w:sz w:val="18"/>
          <w:szCs w:val="18"/>
          <w:lang w:val="es-ES_tradnl" w:eastAsia="es-ES"/>
        </w:rPr>
        <w:t>En salidas entre mayo al 14 de octubre 2024:</w:t>
      </w:r>
    </w:p>
    <w:p>
      <w:pPr>
        <w:pStyle w:val="Normal"/>
        <w:spacing w:before="0" w:after="0"/>
        <w:jc w:val="both"/>
        <w:rPr>
          <w:rFonts w:ascii="Arial" w:hAnsi="Arial" w:cs="Arial"/>
          <w:sz w:val="18"/>
          <w:szCs w:val="18"/>
        </w:rPr>
      </w:pPr>
      <w:r>
        <w:rPr>
          <w:rFonts w:cs="Arial" w:ascii="Arial" w:hAnsi="Arial"/>
          <w:sz w:val="18"/>
          <w:szCs w:val="18"/>
        </w:rPr>
        <w:t>Salida temprana por la autorruta Transcanadiense hacia Ottawa. La región de 1000 Islas es una de las más hermosas y románticas del país en donde tomaremos una excursión de una hora en barco para admirar estas islas y sus mansiones y curiosidades en el nacimiento del río San Lorenzo. Continuación hacia la capital del País que sorprenderá por su bella arquitectura y geografía en la margen del Rió Ottawa.  Al llegar comenzaremos la visita panorámica, de la ciudad, la Catedral, la residencia del primer ministro, del Gobernador-General   que representa a la Reina Elizabeth II, el Canal Rideau bordeado de hermosas mansiones y jardines con flores multicolores. En el caso que la visita no sea terminada, será completada al día siguiente. Alojamiento y tiempo libre.</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cs="Arial"/>
          <w:b/>
          <w:b/>
          <w:bCs/>
          <w:i/>
          <w:i/>
          <w:iCs/>
          <w:sz w:val="18"/>
          <w:szCs w:val="18"/>
        </w:rPr>
      </w:pPr>
      <w:r>
        <w:rPr>
          <w:rFonts w:cs="Arial" w:ascii="Arial" w:hAnsi="Arial"/>
          <w:b/>
          <w:bCs/>
          <w:i/>
          <w:iCs/>
          <w:sz w:val="18"/>
          <w:szCs w:val="18"/>
        </w:rPr>
        <w:t>En salidas entre el 15 de octubre 2023 y 28 de abril 2024:</w:t>
      </w:r>
    </w:p>
    <w:p>
      <w:pPr>
        <w:pStyle w:val="Normal"/>
        <w:spacing w:before="0" w:after="0"/>
        <w:jc w:val="both"/>
        <w:rPr>
          <w:rFonts w:ascii="Arial" w:hAnsi="Arial" w:cs="Arial"/>
          <w:sz w:val="18"/>
          <w:szCs w:val="18"/>
        </w:rPr>
      </w:pPr>
      <w:r>
        <w:rPr>
          <w:rFonts w:cs="Arial" w:ascii="Arial" w:hAnsi="Arial"/>
          <w:sz w:val="18"/>
          <w:szCs w:val="18"/>
        </w:rPr>
        <w:t>Salida temprana por la autorruta Transcanadiense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Rió Ottawa. Al llegar comenzaremos una visita panorámica, la Catedral, la residencia del primer ministro, del Gobernador-General que representa a la Reina Elizabeth II, el Canal Rideau que se transforma en una inmensa pista de patinaje que muchos utilizan para ir a trabajar patinando. Cena Opcional con costo. Alojamiento y tiempo libre.</w:t>
      </w:r>
    </w:p>
    <w:p>
      <w:pPr>
        <w:pStyle w:val="Normal"/>
        <w:spacing w:before="0" w:after="0"/>
        <w:jc w:val="both"/>
        <w:rPr>
          <w:rFonts w:ascii="Arial" w:hAnsi="Arial" w:cs="Arial"/>
          <w:sz w:val="14"/>
          <w:szCs w:val="14"/>
        </w:rPr>
      </w:pPr>
      <w:r>
        <w:rPr>
          <w:rFonts w:cs="Arial" w:ascii="Arial" w:hAnsi="Arial"/>
          <w:sz w:val="14"/>
          <w:szCs w:val="14"/>
        </w:rPr>
      </w:r>
    </w:p>
    <w:p>
      <w:pPr>
        <w:pStyle w:val="Normal"/>
        <w:spacing w:lineRule="auto" w:line="240" w:before="0" w:after="0"/>
        <w:jc w:val="both"/>
        <w:rPr>
          <w:rFonts w:ascii="Arial" w:hAnsi="Arial" w:eastAsia="Times New Roman" w:cs="Arial"/>
          <w:b/>
          <w:b/>
          <w:bCs/>
          <w:color w:val="E36C0A" w:themeColor="accent6" w:themeShade="bf"/>
          <w:sz w:val="18"/>
          <w:szCs w:val="18"/>
          <w:lang w:val="es-ES" w:eastAsia="es-ES"/>
        </w:rPr>
      </w:pPr>
      <w:r>
        <w:rPr>
          <w:rFonts w:eastAsia="Times New Roman" w:cs="Arial" w:ascii="Arial" w:hAnsi="Arial"/>
          <w:b/>
          <w:bCs/>
          <w:color w:val="E36C0A" w:themeColor="accent6" w:themeShade="bf" w:themeTint="ff"/>
          <w:sz w:val="18"/>
          <w:szCs w:val="18"/>
          <w:lang w:val="es-ES" w:eastAsia="es-ES"/>
        </w:rPr>
        <w:t xml:space="preserve">Día 4 </w:t>
      </w:r>
      <w:r>
        <w:rPr/>
        <w:tab/>
      </w:r>
      <w:r>
        <w:rPr>
          <w:rFonts w:eastAsia="Times New Roman" w:cs="Arial" w:ascii="Arial" w:hAnsi="Arial"/>
          <w:b/>
          <w:bCs/>
          <w:color w:val="E36C0A" w:themeColor="accent6" w:themeShade="bf" w:themeTint="ff"/>
          <w:sz w:val="18"/>
          <w:szCs w:val="18"/>
          <w:lang w:val="es-ES" w:eastAsia="es-ES"/>
        </w:rPr>
        <w:t xml:space="preserve">Ottawa – Cabaña Chez Dany – Quebec </w:t>
      </w:r>
    </w:p>
    <w:p>
      <w:pPr>
        <w:pStyle w:val="Normal"/>
        <w:spacing w:before="0" w:after="0"/>
        <w:jc w:val="both"/>
        <w:rPr>
          <w:rFonts w:ascii="Arial" w:hAnsi="Arial" w:cs="Arial"/>
          <w:i/>
          <w:i/>
          <w:iCs/>
          <w:sz w:val="18"/>
          <w:szCs w:val="18"/>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xml:space="preserve"> </w:t>
      </w:r>
      <w:r>
        <w:rPr>
          <w:rFonts w:cs="Arial" w:ascii="Arial" w:hAnsi="Arial"/>
          <w:sz w:val="18"/>
          <w:szCs w:val="18"/>
        </w:rPr>
        <w:t xml:space="preserve">Salida hacia la capital de la provincia homónima, Quebec. Hoy atravesaremos el río Ottawa para llegar a la Provincia de Québec y hacia los montes Laurentinos, plenos de lagos y montes que son el paraíso de las actividades al exterior. En camino visitaremos una plantación de arces en donde se produce la miel de Arce con métodos tradicionales y en donde </w:t>
      </w:r>
      <w:r>
        <w:rPr>
          <w:rFonts w:cs="Arial" w:ascii="Arial" w:hAnsi="Arial"/>
          <w:bCs/>
          <w:sz w:val="18"/>
          <w:szCs w:val="18"/>
        </w:rPr>
        <w:t xml:space="preserve">tendremos un almuerzo típico de leñadores </w:t>
      </w:r>
      <w:r>
        <w:rPr>
          <w:rFonts w:cs="Arial" w:ascii="Arial" w:hAnsi="Arial"/>
          <w:b/>
          <w:sz w:val="18"/>
          <w:szCs w:val="18"/>
        </w:rPr>
        <w:t>(incluido).</w:t>
      </w:r>
      <w:r>
        <w:rPr>
          <w:rFonts w:cs="Arial" w:ascii="Arial" w:hAnsi="Arial"/>
          <w:sz w:val="18"/>
          <w:szCs w:val="18"/>
        </w:rPr>
        <w:t xml:space="preserve"> Continuación hacia Quebec. Al llegar comenzaremos la visita Panorámica de la ciudad más antigua del país, la ciudad amurallada, la parte alta y baja, la Plaza de Armas, la Plaza Royal, el Parlamento de la provincia. Alojamiento y tiempo libre.</w:t>
      </w:r>
      <w:r>
        <w:rPr>
          <w:rFonts w:cs="Arial" w:ascii="Arial" w:hAnsi="Arial"/>
          <w:b/>
          <w:bCs/>
          <w:sz w:val="18"/>
          <w:szCs w:val="18"/>
        </w:rPr>
        <w:t xml:space="preserve"> </w:t>
      </w:r>
      <w:r>
        <w:rPr>
          <w:rFonts w:cs="Arial" w:ascii="Arial" w:hAnsi="Arial"/>
          <w:i/>
          <w:iCs/>
          <w:sz w:val="18"/>
          <w:szCs w:val="18"/>
        </w:rPr>
        <w:t>Cena opcional con con costo.</w:t>
      </w:r>
    </w:p>
    <w:p>
      <w:pPr>
        <w:pStyle w:val="Normal"/>
        <w:spacing w:before="0" w:after="0"/>
        <w:jc w:val="both"/>
        <w:rPr>
          <w:rFonts w:ascii="Arial" w:hAnsi="Arial" w:cs="Arial"/>
          <w:i/>
          <w:i/>
          <w:iCs/>
          <w:sz w:val="14"/>
          <w:szCs w:val="14"/>
        </w:rPr>
      </w:pPr>
      <w:r>
        <w:rPr>
          <w:rFonts w:cs="Arial" w:ascii="Arial" w:hAnsi="Arial"/>
          <w:i/>
          <w:iCs/>
          <w:sz w:val="14"/>
          <w:szCs w:val="14"/>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5</w:t>
        <w:tab/>
        <w:t xml:space="preserve">Quebec </w:t>
      </w:r>
    </w:p>
    <w:p>
      <w:pPr>
        <w:pStyle w:val="Normal"/>
        <w:spacing w:before="0" w:after="0"/>
        <w:rPr>
          <w:rStyle w:val="Normaltextrun"/>
          <w:rFonts w:ascii="Arial" w:hAnsi="Arial" w:cs="Arial"/>
          <w:color w:val="000000"/>
          <w:sz w:val="18"/>
          <w:szCs w:val="18"/>
          <w:shd w:fill="FFFFFF" w:val="clear"/>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xml:space="preserve"> </w:t>
      </w:r>
    </w:p>
    <w:p>
      <w:pPr>
        <w:pStyle w:val="Normal"/>
        <w:spacing w:before="0" w:after="0"/>
        <w:rPr>
          <w:rStyle w:val="Normaltextrun"/>
          <w:rFonts w:ascii="Arial" w:hAnsi="Arial" w:cs="Arial"/>
          <w:color w:val="000000"/>
          <w:sz w:val="18"/>
          <w:szCs w:val="18"/>
          <w:shd w:fill="FFFFFF" w:val="clear"/>
        </w:rPr>
      </w:pPr>
      <w:r>
        <w:rPr>
          <w:rFonts w:cs="Arial" w:ascii="Arial" w:hAnsi="Arial"/>
          <w:color w:val="000000"/>
          <w:sz w:val="18"/>
          <w:szCs w:val="18"/>
          <w:shd w:fill="FFFFFF" w:val="clear"/>
        </w:rPr>
      </w:r>
    </w:p>
    <w:p>
      <w:pPr>
        <w:pStyle w:val="Normal"/>
        <w:spacing w:before="0" w:after="0"/>
        <w:jc w:val="both"/>
        <w:rPr>
          <w:rFonts w:ascii="Arial" w:hAnsi="Arial" w:cs="Arial"/>
          <w:b/>
          <w:b/>
          <w:bCs/>
          <w:i/>
          <w:i/>
          <w:iCs/>
          <w:sz w:val="18"/>
          <w:szCs w:val="18"/>
        </w:rPr>
      </w:pPr>
      <w:r>
        <w:rPr>
          <w:rFonts w:cs="Arial" w:ascii="Arial" w:hAnsi="Arial"/>
          <w:b/>
          <w:bCs/>
          <w:i/>
          <w:iCs/>
          <w:sz w:val="18"/>
          <w:szCs w:val="18"/>
        </w:rPr>
        <w:t>En salidas entre el 15 de octubre 2023 y 28 de abril 2024:</w:t>
      </w:r>
    </w:p>
    <w:p>
      <w:pPr>
        <w:pStyle w:val="Default"/>
        <w:jc w:val="both"/>
        <w:rPr>
          <w:rStyle w:val="Normaltextrun"/>
          <w:rFonts w:ascii="Arial" w:hAnsi="Arial" w:cs="Arial"/>
          <w:sz w:val="18"/>
          <w:szCs w:val="18"/>
        </w:rPr>
      </w:pPr>
      <w:r>
        <w:rPr>
          <w:rFonts w:cs="Arial" w:ascii="Arial" w:hAnsi="Arial"/>
          <w:sz w:val="18"/>
          <w:szCs w:val="18"/>
        </w:rPr>
        <w:t>En caso de no haberse completado, se continuará con la Visita de la ciudad. Almuerzo opcional con costo en Restaurante.  Salida a conocer la Costa de Beaupre, en donde recorreremos el camino real en donde se encuentran las casas rurales más antiguas de Canadá, la famosa Basílica de Santa Ana de Beaupré y Las Cataratas Montmorency que con sus 83 metros de altura son más altas que el Niágara. Tiempo libre. Cena Opcional con costo. Alojamiento.</w:t>
      </w:r>
    </w:p>
    <w:p>
      <w:pPr>
        <w:pStyle w:val="Normal"/>
        <w:spacing w:before="0" w:after="0"/>
        <w:rPr>
          <w:rStyle w:val="Normaltextrun"/>
          <w:rFonts w:ascii="Arial" w:hAnsi="Arial" w:cs="Arial"/>
          <w:color w:val="000000"/>
          <w:sz w:val="18"/>
          <w:szCs w:val="18"/>
          <w:shd w:fill="FFFFFF" w:val="clear"/>
        </w:rPr>
      </w:pPr>
      <w:r>
        <w:rPr>
          <w:rFonts w:cs="Arial" w:ascii="Arial" w:hAnsi="Arial"/>
          <w:color w:val="000000"/>
          <w:sz w:val="18"/>
          <w:szCs w:val="18"/>
          <w:shd w:fill="FFFFFF" w:val="clear"/>
        </w:rPr>
      </w:r>
    </w:p>
    <w:p>
      <w:pPr>
        <w:pStyle w:val="Normal"/>
        <w:spacing w:before="0" w:after="0"/>
        <w:rPr>
          <w:rStyle w:val="Normaltextrun"/>
          <w:rFonts w:ascii="Arial" w:hAnsi="Arial" w:cs="Arial"/>
          <w:color w:val="000000"/>
          <w:sz w:val="18"/>
          <w:szCs w:val="18"/>
          <w:shd w:fill="FFFFFF" w:val="clear"/>
        </w:rPr>
      </w:pPr>
      <w:r>
        <w:rPr>
          <w:rFonts w:eastAsia="Times New Roman" w:cs="Arial" w:ascii="Arial" w:hAnsi="Arial"/>
          <w:b/>
          <w:i/>
          <w:color w:val="000000" w:themeColor="text1"/>
          <w:sz w:val="18"/>
          <w:szCs w:val="18"/>
          <w:lang w:val="es-ES_tradnl" w:eastAsia="es-ES"/>
        </w:rPr>
        <w:t>En salidas entre mayo al 14 de octubre 2024:</w:t>
      </w:r>
    </w:p>
    <w:p>
      <w:pPr>
        <w:pStyle w:val="Normal"/>
        <w:spacing w:before="0" w:after="0"/>
        <w:rPr>
          <w:rFonts w:ascii="Arial" w:hAnsi="Arial" w:cs="Arial"/>
          <w:sz w:val="18"/>
          <w:szCs w:val="18"/>
        </w:rPr>
      </w:pPr>
      <w:r>
        <w:rPr>
          <w:rStyle w:val="Normaltextrun"/>
          <w:rFonts w:cs="Arial" w:ascii="Arial" w:hAnsi="Arial"/>
          <w:color w:val="000000"/>
          <w:sz w:val="18"/>
          <w:szCs w:val="18"/>
          <w:shd w:fill="FFFFFF" w:val="clear"/>
        </w:rPr>
        <w:t xml:space="preserve">Día libre. </w:t>
      </w:r>
      <w:r>
        <w:rPr>
          <w:rFonts w:cs="Arial" w:ascii="Arial" w:hAnsi="Arial"/>
          <w:sz w:val="18"/>
          <w:szCs w:val="18"/>
        </w:rPr>
        <w:t>Para hoy les aconsejamos dos excursiones opcionales con costo, si elige la excursión a las ballenas no podrá tomar la excursión a la Costa de Beaupré y viceversa.</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8"/>
          <w:szCs w:val="18"/>
        </w:rPr>
      </w:pPr>
      <w:r>
        <w:rPr>
          <w:rStyle w:val="Normaltextrun"/>
          <w:rFonts w:cs="Arial" w:ascii="Arial" w:hAnsi="Arial"/>
          <w:b/>
          <w:bCs/>
          <w:i/>
          <w:iCs/>
          <w:color w:val="404040" w:themeColor="text1" w:themeTint="bf"/>
          <w:sz w:val="18"/>
          <w:szCs w:val="18"/>
        </w:rPr>
        <w:t>-Excursión opcional con costo adicional a la Costa de Beaupré 7 horas (80 km)</w:t>
      </w:r>
    </w:p>
    <w:p>
      <w:pPr>
        <w:pStyle w:val="Paragraph"/>
        <w:spacing w:beforeAutospacing="0" w:before="0" w:afterAutospacing="0" w:after="0"/>
        <w:jc w:val="both"/>
        <w:textAlignment w:val="baseline"/>
        <w:rPr>
          <w:rStyle w:val="Normaltextrun"/>
          <w:rFonts w:ascii="Arial" w:hAnsi="Arial" w:cs="Arial"/>
          <w:i/>
          <w:i/>
          <w:iCs/>
          <w:color w:val="404040" w:themeColor="text1" w:themeTint="bf"/>
          <w:sz w:val="18"/>
          <w:szCs w:val="18"/>
          <w:lang w:val="es-ES"/>
        </w:rPr>
      </w:pPr>
      <w:r>
        <w:rPr>
          <w:rStyle w:val="Normaltextrun"/>
          <w:rFonts w:cs="Arial" w:ascii="Arial" w:hAnsi="Arial"/>
          <w:i/>
          <w:iCs/>
          <w:color w:val="404040" w:themeColor="text1" w:themeShade="ff" w:themeTint="bf"/>
          <w:sz w:val="18"/>
          <w:szCs w:val="18"/>
          <w:lang w:val="es-ES"/>
        </w:rPr>
        <w:t>En esta excursión opcional con costo en la que podrá conocer la encantadora Isla de Orleans, 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en donde montaremos en el funicular que nos llevara a la parte alta.</w:t>
      </w:r>
      <w:r>
        <w:rPr>
          <w:rStyle w:val="Eop"/>
          <w:rFonts w:cs="Arial" w:ascii="Arial" w:hAnsi="Arial"/>
          <w:i/>
          <w:iCs/>
          <w:color w:val="404040" w:themeColor="text1" w:themeShade="ff" w:themeTint="bf"/>
          <w:sz w:val="18"/>
          <w:szCs w:val="18"/>
          <w:lang w:val="es-ES"/>
        </w:rPr>
        <w:t> </w:t>
      </w:r>
      <w:r>
        <w:rPr>
          <w:rStyle w:val="Normaltextrun"/>
          <w:rFonts w:cs="Arial" w:ascii="Arial" w:hAnsi="Arial"/>
          <w:b/>
          <w:bCs/>
          <w:i/>
          <w:iCs/>
          <w:color w:val="404040" w:themeColor="text1" w:themeShade="ff" w:themeTint="bf"/>
          <w:sz w:val="18"/>
          <w:szCs w:val="18"/>
          <w:lang w:val="es-ES"/>
        </w:rPr>
        <w:t>Almuerzo Incluido</w:t>
      </w:r>
      <w:r>
        <w:rPr>
          <w:rStyle w:val="Normaltextrun"/>
          <w:rFonts w:cs="Arial" w:ascii="Arial" w:hAnsi="Arial"/>
          <w:i/>
          <w:iCs/>
          <w:color w:val="404040" w:themeColor="text1" w:themeShade="ff" w:themeTint="bf"/>
          <w:sz w:val="18"/>
          <w:szCs w:val="18"/>
          <w:lang w:val="es-ES"/>
        </w:rPr>
        <w:t>. ¡Una excursión de contrastes que seguramente satisfará a los más exigentes!  Tiempo libre.</w:t>
      </w:r>
    </w:p>
    <w:p>
      <w:pPr>
        <w:pStyle w:val="Paragraph"/>
        <w:spacing w:beforeAutospacing="0" w:before="0" w:afterAutospacing="0" w:after="0"/>
        <w:jc w:val="both"/>
        <w:textAlignment w:val="baseline"/>
        <w:rPr>
          <w:rStyle w:val="Normaltextrun"/>
          <w:rFonts w:ascii="Arial" w:hAnsi="Arial" w:cs="Arial"/>
          <w:i/>
          <w:i/>
          <w:iCs/>
          <w:color w:val="404040" w:themeColor="text1" w:themeTint="bf"/>
          <w:sz w:val="12"/>
          <w:szCs w:val="12"/>
        </w:rPr>
      </w:pPr>
      <w:r>
        <w:rPr>
          <w:rFonts w:cs="Arial" w:ascii="Arial" w:hAnsi="Arial"/>
          <w:i/>
          <w:iCs/>
          <w:color w:val="404040" w:themeColor="text1" w:themeTint="bf"/>
          <w:sz w:val="12"/>
          <w:szCs w:val="12"/>
        </w:rPr>
      </w:r>
    </w:p>
    <w:p>
      <w:pPr>
        <w:pStyle w:val="Paragraph"/>
        <w:spacing w:beforeAutospacing="0" w:before="0" w:afterAutospacing="0" w:after="0"/>
        <w:jc w:val="both"/>
        <w:textAlignment w:val="baseline"/>
        <w:rPr>
          <w:rFonts w:ascii="Arial" w:hAnsi="Arial" w:cs="Arial"/>
          <w:b/>
          <w:b/>
          <w:bCs/>
          <w:i/>
          <w:i/>
          <w:iCs/>
          <w:color w:val="404040" w:themeColor="text1" w:themeTint="bf"/>
          <w:sz w:val="18"/>
          <w:szCs w:val="18"/>
        </w:rPr>
      </w:pPr>
      <w:r>
        <w:rPr>
          <w:rStyle w:val="Normaltextrun"/>
          <w:rFonts w:cs="Arial" w:ascii="Arial" w:hAnsi="Arial"/>
          <w:b/>
          <w:bCs/>
          <w:i/>
          <w:iCs/>
          <w:color w:val="404040" w:themeColor="text1" w:themeTint="bf"/>
          <w:sz w:val="18"/>
          <w:szCs w:val="18"/>
        </w:rPr>
        <w:t xml:space="preserve">-Excursión Safari Fotográfico a las Ballenas opcional con costo, </w:t>
      </w:r>
      <w:r>
        <w:rPr>
          <w:rStyle w:val="Normaltextrun"/>
          <w:rFonts w:cs="Arial" w:ascii="Arial" w:hAnsi="Arial"/>
          <w:i/>
          <w:iCs/>
          <w:color w:val="404040" w:themeColor="text1" w:themeTint="bf"/>
          <w:sz w:val="18"/>
          <w:szCs w:val="18"/>
        </w:rPr>
        <w:t>(</w:t>
      </w:r>
      <w:r>
        <w:rPr>
          <w:rStyle w:val="Normaltextrun"/>
          <w:rFonts w:cs="Arial" w:ascii="Arial" w:hAnsi="Arial"/>
          <w:b/>
          <w:bCs/>
          <w:i/>
          <w:iCs/>
          <w:color w:val="404040" w:themeColor="text1" w:themeTint="bf"/>
          <w:sz w:val="18"/>
          <w:szCs w:val="18"/>
        </w:rPr>
        <w:t>450km</w:t>
      </w:r>
      <w:r>
        <w:rPr>
          <w:rStyle w:val="Normaltextrun"/>
          <w:rFonts w:cs="Arial" w:ascii="Arial" w:hAnsi="Arial"/>
          <w:i/>
          <w:iCs/>
          <w:color w:val="404040" w:themeColor="text1" w:themeTint="bf"/>
          <w:sz w:val="18"/>
          <w:szCs w:val="18"/>
        </w:rPr>
        <w:t xml:space="preserve"> </w:t>
      </w:r>
      <w:r>
        <w:rPr>
          <w:rStyle w:val="Normaltextrun"/>
          <w:rFonts w:cs="Arial" w:ascii="Arial" w:hAnsi="Arial"/>
          <w:b/>
          <w:bCs/>
          <w:i/>
          <w:iCs/>
          <w:color w:val="404040" w:themeColor="text1" w:themeTint="bf"/>
          <w:sz w:val="18"/>
          <w:szCs w:val="18"/>
        </w:rPr>
        <w:t>10 horas) Salidas 24 de junio al 09 de septiembre (periodo a confirmar en mayo 2024)</w:t>
      </w:r>
    </w:p>
    <w:p>
      <w:pPr>
        <w:pStyle w:val="Paragraph"/>
        <w:spacing w:beforeAutospacing="0" w:before="0" w:afterAutospacing="0" w:after="0"/>
        <w:jc w:val="both"/>
        <w:textAlignment w:val="baseline"/>
        <w:rPr>
          <w:rFonts w:ascii="Arial" w:hAnsi="Arial" w:cs="Arial"/>
          <w:i/>
          <w:i/>
          <w:iCs/>
          <w:color w:val="404040" w:themeColor="text1" w:themeTint="bf"/>
          <w:sz w:val="18"/>
          <w:szCs w:val="18"/>
          <w:lang w:val="es-ES"/>
        </w:rPr>
      </w:pPr>
      <w:r>
        <w:rPr>
          <w:rStyle w:val="Normaltextrun"/>
          <w:rFonts w:cs="Arial" w:ascii="Arial" w:hAnsi="Arial"/>
          <w:i/>
          <w:iCs/>
          <w:color w:val="404040" w:themeColor="text1" w:themeShade="ff" w:themeTint="bf"/>
          <w:sz w:val="18"/>
          <w:szCs w:val="18"/>
          <w:lang w:val="es-ES"/>
        </w:rPr>
        <w:t>Para visitar la región de Charlevoix para lo cual saldremos temprano hacia esta región la más bonita de la provincia, en donde se instalarán artistas y poetas, con sus bellos pueblos y geografía nos dejara un recuerdo indeleble de nuestro viaje. Al llegar a la confluencia del río Saguenay, tomaremos el barco que nos llevara a nuestro safari Fotográfico a las ballenas de una duración de 3 horas (en idioma inglés). Continuación hacia Quebec. Resto del día libre.</w:t>
      </w:r>
      <w:r>
        <w:rPr>
          <w:rStyle w:val="Eop"/>
          <w:rFonts w:cs="Arial" w:ascii="Arial" w:hAnsi="Arial"/>
          <w:i/>
          <w:iCs/>
          <w:color w:val="404040" w:themeColor="text1" w:themeShade="ff" w:themeTint="bf"/>
          <w:sz w:val="18"/>
          <w:szCs w:val="18"/>
          <w:lang w:val="es-ES"/>
        </w:rPr>
        <w:t> </w:t>
      </w:r>
      <w:r>
        <w:rPr>
          <w:rStyle w:val="Normaltextrun"/>
          <w:rFonts w:cs="Arial" w:ascii="Arial" w:hAnsi="Arial"/>
          <w:i/>
          <w:iCs/>
          <w:color w:val="404040" w:themeColor="text1" w:themeShade="ff" w:themeTint="bf"/>
          <w:sz w:val="18"/>
          <w:szCs w:val="18"/>
          <w:lang w:val="es-ES"/>
        </w:rPr>
        <w:t xml:space="preserve">En sus ratos libres, disfrute del maravilloso ambiente de esta romántica ciudad. Regreso a Quebec. </w:t>
      </w:r>
    </w:p>
    <w:p>
      <w:pPr>
        <w:pStyle w:val="Paragraph"/>
        <w:spacing w:beforeAutospacing="0" w:before="0" w:afterAutospacing="0" w:after="0"/>
        <w:jc w:val="both"/>
        <w:textAlignment w:val="baseline"/>
        <w:rPr>
          <w:rFonts w:ascii="Arial" w:hAnsi="Arial" w:cs="Arial"/>
          <w:sz w:val="14"/>
          <w:szCs w:val="14"/>
        </w:rPr>
      </w:pPr>
      <w:r>
        <w:rPr>
          <w:rFonts w:cs="Arial" w:ascii="Arial" w:hAnsi="Arial"/>
          <w:sz w:val="14"/>
          <w:szCs w:val="14"/>
        </w:rPr>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Día 6</w:t>
        <w:tab/>
        <w:t xml:space="preserve"> Quebec – Montreal </w:t>
      </w:r>
    </w:p>
    <w:p>
      <w:pPr>
        <w:pStyle w:val="Normal"/>
        <w:spacing w:before="0" w:after="0"/>
        <w:jc w:val="both"/>
        <w:rPr>
          <w:rFonts w:ascii="Arial" w:hAnsi="Arial" w:cs="Arial"/>
          <w:sz w:val="18"/>
          <w:szCs w:val="18"/>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w:t>
      </w:r>
      <w:r>
        <w:rPr>
          <w:rFonts w:cs="Arial" w:ascii="Arial" w:hAnsi="Arial"/>
          <w:color w:val="000000"/>
          <w:sz w:val="18"/>
          <w:szCs w:val="18"/>
        </w:rPr>
        <w:t>Sa</w:t>
      </w:r>
      <w:r>
        <w:rPr>
          <w:rFonts w:cs="Arial" w:ascii="Arial" w:hAnsi="Arial"/>
          <w:sz w:val="18"/>
          <w:szCs w:val="18"/>
        </w:rPr>
        <w:t>lida en dirección a Montreal. Al llegar, iniciaremos la visita de esta vibrante ciudad, segunda mayor ciudad de lengua francesa en el mundo: el estadio Olímpico (parada fotográfica),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 Dame de Montreal.  La Plaza Cartier y el Ayuntamiento de Montreal. Resto del día libre. Alojamiento.</w:t>
      </w:r>
    </w:p>
    <w:p>
      <w:pPr>
        <w:pStyle w:val="Normal"/>
        <w:spacing w:before="0" w:after="0"/>
        <w:jc w:val="both"/>
        <w:rPr>
          <w:rFonts w:ascii="Arial" w:hAnsi="Arial" w:cs="Arial"/>
          <w:sz w:val="12"/>
          <w:szCs w:val="12"/>
        </w:rPr>
      </w:pPr>
      <w:r>
        <w:rPr>
          <w:rFonts w:cs="Arial" w:ascii="Arial" w:hAnsi="Arial"/>
          <w:sz w:val="12"/>
          <w:szCs w:val="12"/>
        </w:rPr>
      </w:r>
    </w:p>
    <w:p>
      <w:pPr>
        <w:pStyle w:val="Normal"/>
        <w:spacing w:before="0" w:after="0"/>
        <w:jc w:val="both"/>
        <w:rPr>
          <w:rFonts w:ascii="Arial" w:hAnsi="Arial" w:cs="Arial"/>
          <w:sz w:val="18"/>
          <w:szCs w:val="18"/>
        </w:rPr>
      </w:pPr>
      <w:r>
        <w:rPr>
          <w:rFonts w:eastAsia="Times New Roman" w:cs="Arial" w:ascii="Arial" w:hAnsi="Arial"/>
          <w:b/>
          <w:color w:val="E36C0A" w:themeColor="accent6" w:themeShade="bf"/>
          <w:sz w:val="18"/>
          <w:szCs w:val="18"/>
          <w:lang w:val="es-ES_tradnl" w:eastAsia="es-ES"/>
        </w:rPr>
        <w:t>Día 7</w:t>
        <w:tab/>
        <w:t xml:space="preserve"> Montreal </w:t>
      </w:r>
    </w:p>
    <w:p>
      <w:pPr>
        <w:pStyle w:val="Normal"/>
        <w:spacing w:lineRule="auto" w:line="240" w:before="0" w:after="0"/>
        <w:jc w:val="both"/>
        <w:rPr>
          <w:rStyle w:val="Eop"/>
          <w:rFonts w:ascii="Arial" w:hAnsi="Arial" w:cs="Arial"/>
          <w:color w:val="000000"/>
          <w:sz w:val="18"/>
          <w:szCs w:val="18"/>
          <w:shd w:fill="FFFFFF" w:val="clear"/>
        </w:rPr>
      </w:pPr>
      <w:r>
        <w:rPr>
          <w:rStyle w:val="Normaltextrun"/>
          <w:rFonts w:cs="Arial" w:ascii="Arial" w:hAnsi="Arial"/>
          <w:b/>
          <w:bCs/>
          <w:i/>
          <w:iCs/>
          <w:color w:val="000000"/>
          <w:sz w:val="18"/>
          <w:szCs w:val="18"/>
          <w:u w:val="single"/>
          <w:shd w:fill="FFFFFF" w:val="clear"/>
        </w:rPr>
        <w:t>Desayuno.</w:t>
      </w:r>
      <w:r>
        <w:rPr>
          <w:rStyle w:val="Normaltextrun"/>
          <w:rFonts w:cs="Arial" w:ascii="Arial" w:hAnsi="Arial"/>
          <w:color w:val="000000"/>
          <w:sz w:val="18"/>
          <w:szCs w:val="18"/>
          <w:shd w:fill="FFFFFF" w:val="clear"/>
        </w:rPr>
        <w:t xml:space="preserve"> Tiempo libre hasta hora de salida al aeropuerto</w:t>
      </w:r>
      <w:r>
        <w:rPr>
          <w:rStyle w:val="Eop"/>
          <w:rFonts w:cs="Arial" w:ascii="Arial" w:hAnsi="Arial"/>
          <w:color w:val="000000"/>
          <w:sz w:val="18"/>
          <w:szCs w:val="18"/>
          <w:shd w:fill="FFFFFF" w:val="clear"/>
        </w:rPr>
        <w:t>.</w:t>
      </w:r>
    </w:p>
    <w:p>
      <w:pPr>
        <w:pStyle w:val="Normal"/>
        <w:spacing w:lineRule="auto" w:line="240" w:before="0" w:after="0"/>
        <w:jc w:val="both"/>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p>
      <w:pPr>
        <w:pStyle w:val="Normal"/>
        <w:spacing w:lineRule="auto" w:line="240" w:before="0" w:after="0"/>
        <w:jc w:val="right"/>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t>FIN DE LOS SERVICIOS.</w:t>
      </w:r>
    </w:p>
    <w:p>
      <w:pPr>
        <w:pStyle w:val="Normal"/>
        <w:spacing w:lineRule="auto" w:line="240" w:before="0" w:after="0"/>
        <w:rPr>
          <w:rFonts w:ascii="Arial" w:hAnsi="Arial" w:eastAsia="Times New Roman" w:cs="Arial"/>
          <w:color w:val="000000"/>
          <w:sz w:val="18"/>
          <w:szCs w:val="18"/>
          <w:lang w:val="es-ES_tradnl" w:eastAsia="es-ES"/>
        </w:rPr>
      </w:pPr>
      <w:r>
        <w:rPr>
          <w:rFonts w:eastAsia="Times New Roman" w:cs="Arial" w:ascii="Arial" w:hAnsi="Arial"/>
          <w:color w:val="000000"/>
          <w:sz w:val="18"/>
          <w:szCs w:val="18"/>
          <w:lang w:val="es-ES_tradnl" w:eastAsia="es-ES"/>
        </w:rPr>
      </w:r>
    </w:p>
    <w:p>
      <w:pPr>
        <w:pStyle w:val="Normal"/>
        <w:spacing w:lineRule="auto" w:line="240" w:before="0" w:after="0"/>
        <w:rPr>
          <w:rFonts w:ascii="Arial" w:hAnsi="Arial" w:eastAsia="Times New Roman" w:cs="Arial"/>
          <w:b/>
          <w:b/>
          <w:color w:val="FFFFFF" w:themeColor="background1"/>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000000"/>
          <w:sz w:val="10"/>
          <w:szCs w:val="10"/>
          <w:u w:val="single"/>
          <w:lang w:val="es-ES_tradnl" w:eastAsia="es-ES"/>
        </w:rPr>
      </w:pPr>
      <w:r>
        <w:rPr>
          <w:rFonts w:eastAsia="Times New Roman" w:cs="Arial" w:ascii="Arial" w:hAnsi="Arial"/>
          <w:b/>
          <w:color w:val="000000"/>
          <w:sz w:val="10"/>
          <w:szCs w:val="10"/>
          <w:u w:val="single"/>
          <w:lang w:val="es-ES_tradnl" w:eastAsia="es-ES"/>
        </w:rPr>
      </w:r>
    </w:p>
    <w:tbl>
      <w:tblPr>
        <w:tblW w:w="5937" w:type="dxa"/>
        <w:jc w:val="left"/>
        <w:tblInd w:w="1696" w:type="dxa"/>
        <w:tblLayout w:type="fixed"/>
        <w:tblCellMar>
          <w:top w:w="0" w:type="dxa"/>
          <w:left w:w="70" w:type="dxa"/>
          <w:bottom w:w="0" w:type="dxa"/>
          <w:right w:w="70" w:type="dxa"/>
        </w:tblCellMar>
        <w:tblLook w:firstRow="1" w:noVBand="1" w:lastRow="0" w:firstColumn="1" w:lastColumn="0" w:noHBand="0" w:val="04a0"/>
      </w:tblPr>
      <w:tblGrid>
        <w:gridCol w:w="1564"/>
        <w:gridCol w:w="3033"/>
        <w:gridCol w:w="1340"/>
      </w:tblGrid>
      <w:tr>
        <w:trPr>
          <w:trHeight w:val="340" w:hRule="atLeast"/>
        </w:trPr>
        <w:tc>
          <w:tcPr>
            <w:tcW w:w="1564" w:type="dxa"/>
            <w:tcBorders>
              <w:top w:val="single" w:sz="4" w:space="0" w:color="E26B0A"/>
              <w:left w:val="single" w:sz="4" w:space="0" w:color="E26B0A"/>
              <w:bottom w:val="single" w:sz="6" w:space="0" w:color="F79646"/>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c>
          <w:tcPr>
            <w:tcW w:w="3033" w:type="dxa"/>
            <w:tcBorders>
              <w:top w:val="single" w:sz="4" w:space="0" w:color="E26B0A"/>
              <w:bottom w:val="single" w:sz="6" w:space="0" w:color="F79646"/>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w:t>
            </w:r>
          </w:p>
        </w:tc>
        <w:tc>
          <w:tcPr>
            <w:tcW w:w="1340" w:type="dxa"/>
            <w:tcBorders>
              <w:top w:val="single" w:sz="4" w:space="0" w:color="E26B0A"/>
              <w:bottom w:val="single" w:sz="6" w:space="0" w:color="F79646"/>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r>
      <w:tr>
        <w:trPr>
          <w:trHeight w:val="340" w:hRule="atLeast"/>
        </w:trPr>
        <w:tc>
          <w:tcPr>
            <w:tcW w:w="1564"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Toronto</w:t>
            </w:r>
          </w:p>
        </w:tc>
        <w:tc>
          <w:tcPr>
            <w:tcW w:w="3033" w:type="dxa"/>
            <w:vMerge w:val="restart"/>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it-IT" w:eastAsia="es-ES"/>
              </w:rPr>
            </w:pPr>
            <w:r>
              <w:rPr>
                <w:rFonts w:eastAsia="Times New Roman" w:cs="Arial" w:ascii="Arial" w:hAnsi="Arial"/>
                <w:sz w:val="18"/>
                <w:szCs w:val="18"/>
                <w:lang w:val="it-IT" w:eastAsia="es-ES"/>
              </w:rPr>
              <w:t xml:space="preserve">Chelsea Hotel </w:t>
            </w:r>
          </w:p>
        </w:tc>
        <w:tc>
          <w:tcPr>
            <w:tcW w:w="1340"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4"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3" w:type="dxa"/>
            <w:vMerge w:val="continue"/>
            <w:tcBorders>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Primera </w:t>
            </w:r>
          </w:p>
        </w:tc>
      </w:tr>
      <w:tr>
        <w:trPr>
          <w:trHeight w:val="340" w:hRule="atLeast"/>
        </w:trPr>
        <w:tc>
          <w:tcPr>
            <w:tcW w:w="1564"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Niagara </w:t>
            </w:r>
          </w:p>
        </w:tc>
        <w:tc>
          <w:tcPr>
            <w:tcW w:w="3033"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 xml:space="preserve">Wyndham Fallsview Hotel  </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4"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3"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Embassy Suites by Hilton Niagara Falls</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340" w:hRule="atLeast"/>
        </w:trPr>
        <w:tc>
          <w:tcPr>
            <w:tcW w:w="1564"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Ottawa</w:t>
            </w:r>
          </w:p>
        </w:tc>
        <w:tc>
          <w:tcPr>
            <w:tcW w:w="3033"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Embassy Hotel and Suites</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Turista </w:t>
            </w:r>
          </w:p>
        </w:tc>
      </w:tr>
      <w:tr>
        <w:trPr>
          <w:trHeight w:val="340" w:hRule="atLeast"/>
        </w:trPr>
        <w:tc>
          <w:tcPr>
            <w:tcW w:w="1564"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3"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val="en-CA" w:eastAsia="es-ES"/>
              </w:rPr>
            </w:pPr>
            <w:r>
              <w:rPr>
                <w:rFonts w:eastAsia="Times New Roman" w:cs="Arial" w:ascii="Arial" w:hAnsi="Arial"/>
                <w:sz w:val="18"/>
                <w:szCs w:val="18"/>
                <w:lang w:val="en-CA" w:eastAsia="es-ES"/>
              </w:rPr>
              <w:t xml:space="preserve">Sheraton Ottawa / Lord Elgin </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r>
      <w:tr>
        <w:trPr>
          <w:trHeight w:val="340" w:hRule="atLeast"/>
        </w:trPr>
        <w:tc>
          <w:tcPr>
            <w:tcW w:w="1564" w:type="dxa"/>
            <w:vMerge w:val="restart"/>
            <w:tcBorders>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Quebec</w:t>
            </w:r>
          </w:p>
        </w:tc>
        <w:tc>
          <w:tcPr>
            <w:tcW w:w="3033"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Hotel Pur Quebec</w:t>
            </w:r>
          </w:p>
        </w:tc>
        <w:tc>
          <w:tcPr>
            <w:tcW w:w="1340" w:type="dxa"/>
            <w:tcBorders>
              <w:top w:val="single" w:sz="6" w:space="0" w:color="F79646"/>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4"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r>
          </w:p>
        </w:tc>
        <w:tc>
          <w:tcPr>
            <w:tcW w:w="3033"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Hilton Quebec / Chateau Laurier</w:t>
            </w:r>
          </w:p>
        </w:tc>
        <w:tc>
          <w:tcPr>
            <w:tcW w:w="1340" w:type="dxa"/>
            <w:tcBorders>
              <w:top w:val="single" w:sz="6" w:space="0" w:color="F79646"/>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340" w:hRule="atLeast"/>
        </w:trPr>
        <w:tc>
          <w:tcPr>
            <w:tcW w:w="1564" w:type="dxa"/>
            <w:vMerge w:val="restart"/>
            <w:tcBorders>
              <w:top w:val="single" w:sz="6" w:space="0" w:color="F79646"/>
              <w:left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Montreal</w:t>
            </w:r>
          </w:p>
        </w:tc>
        <w:tc>
          <w:tcPr>
            <w:tcW w:w="3033" w:type="dxa"/>
            <w:tcBorders>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Hotel Faubourg</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340" w:hRule="atLeast"/>
        </w:trPr>
        <w:tc>
          <w:tcPr>
            <w:tcW w:w="1564" w:type="dxa"/>
            <w:vMerge w:val="continue"/>
            <w:tcBorders>
              <w:left w:val="single" w:sz="6" w:space="0" w:color="F79646"/>
              <w:bottom w:val="single" w:sz="6" w:space="0" w:color="F79646"/>
              <w:right w:val="single" w:sz="6" w:space="0" w:color="F79646"/>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c>
          <w:tcPr>
            <w:tcW w:w="3033"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Fairmont The Queen Elizabeth</w:t>
            </w:r>
          </w:p>
        </w:tc>
        <w:tc>
          <w:tcPr>
            <w:tcW w:w="1340" w:type="dxa"/>
            <w:tcBorders>
              <w:top w:val="single" w:sz="6" w:space="0" w:color="F79646"/>
              <w:bottom w:val="single" w:sz="6" w:space="0" w:color="F79646"/>
              <w:right w:val="single" w:sz="6" w:space="0" w:color="F79646"/>
            </w:tcBorders>
            <w:shd w:color="auto" w:fill="auto"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Primera </w:t>
            </w:r>
          </w:p>
        </w:tc>
      </w:tr>
    </w:tbl>
    <w:p>
      <w:pPr>
        <w:pStyle w:val="Normal"/>
        <w:spacing w:lineRule="auto" w:line="240" w:before="0" w:after="0"/>
        <w:jc w:val="both"/>
        <w:rPr>
          <w:rFonts w:ascii="Arial" w:hAnsi="Arial" w:eastAsia="Times New Roman" w:cs="Arial"/>
          <w:b/>
          <w:b/>
          <w:bCs/>
          <w:i/>
          <w:i/>
          <w:iCs/>
          <w:color w:val="000000"/>
          <w:sz w:val="12"/>
          <w:szCs w:val="14"/>
          <w:u w:val="single"/>
          <w:lang w:val="es-MX" w:eastAsia="es-ES"/>
        </w:rPr>
      </w:pPr>
      <w:r>
        <w:rPr>
          <w:rFonts w:cs="Arial" w:ascii="Arial" w:hAnsi="Arial"/>
          <w:b/>
          <w:bCs/>
          <w:i/>
          <w:iCs/>
          <w:sz w:val="18"/>
          <w:szCs w:val="18"/>
        </w:rPr>
        <w:t>Nota: Hoteles mencionados solo son informativos, los hoteles confirmados se les harán saber al momento de realizar la reservación.</w:t>
      </w:r>
    </w:p>
    <w:p>
      <w:pPr>
        <w:pStyle w:val="Normal"/>
        <w:spacing w:lineRule="auto" w:line="240" w:before="0" w:after="0"/>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b/>
          <w:color w:val="E36C0A" w:themeColor="accent6" w:themeShade="bf"/>
          <w:sz w:val="18"/>
          <w:szCs w:val="18"/>
          <w:u w:val="single"/>
          <w:lang w:val="es-MX" w:eastAsia="es-ES"/>
        </w:rPr>
        <w:t>PRECIOS POR</w:t>
      </w:r>
      <w:r>
        <w:rPr>
          <w:rFonts w:eastAsia="Times New Roman" w:cs="Arial" w:ascii="Proxima Nova Alt Lt" w:hAnsi="Proxima Nova Alt Lt"/>
          <w:b/>
          <w:color w:val="E36C0A" w:themeColor="accent6" w:themeShade="bf"/>
          <w:sz w:val="18"/>
          <w:szCs w:val="18"/>
          <w:u w:val="single"/>
          <w:lang w:val="es-MX" w:eastAsia="es-ES"/>
        </w:rPr>
        <w:t xml:space="preserve"> </w:t>
      </w:r>
      <w:r>
        <w:rPr>
          <w:rFonts w:eastAsia="Times New Roman" w:cs="Arial" w:ascii="Arial" w:hAnsi="Arial"/>
          <w:b/>
          <w:color w:val="E36C0A" w:themeColor="accent6" w:themeShade="bf"/>
          <w:sz w:val="18"/>
          <w:szCs w:val="18"/>
          <w:u w:val="single"/>
          <w:lang w:val="es-MX" w:eastAsia="es-ES"/>
        </w:rPr>
        <w:t>PERSONA EN USD:</w:t>
      </w:r>
    </w:p>
    <w:p>
      <w:pPr>
        <w:pStyle w:val="Normal"/>
        <w:spacing w:lineRule="auto" w:line="240" w:before="0" w:after="0"/>
        <w:rPr>
          <w:rFonts w:ascii="Arial" w:hAnsi="Arial" w:eastAsia="Times New Roman" w:cs="Arial"/>
          <w:b/>
          <w:b/>
          <w:color w:val="000000"/>
          <w:sz w:val="8"/>
          <w:szCs w:val="8"/>
          <w:u w:val="single"/>
          <w:lang w:val="es-MX" w:eastAsia="es-ES"/>
        </w:rPr>
      </w:pPr>
      <w:r>
        <w:rPr>
          <w:rFonts w:eastAsia="Times New Roman" w:cs="Arial" w:ascii="Arial" w:hAnsi="Arial"/>
          <w:b/>
          <w:color w:val="000000"/>
          <w:sz w:val="8"/>
          <w:szCs w:val="8"/>
          <w:u w:val="single"/>
          <w:lang w:val="es-MX" w:eastAsia="es-ES"/>
        </w:rPr>
      </w:r>
    </w:p>
    <w:tbl>
      <w:tblPr>
        <w:tblW w:w="9639"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119"/>
        <w:gridCol w:w="1276"/>
        <w:gridCol w:w="1417"/>
        <w:gridCol w:w="1274"/>
        <w:gridCol w:w="1277"/>
        <w:gridCol w:w="1275"/>
      </w:tblGrid>
      <w:tr>
        <w:trPr>
          <w:trHeight w:val="340" w:hRule="atLeast"/>
        </w:trPr>
        <w:tc>
          <w:tcPr>
            <w:tcW w:w="9638" w:type="dxa"/>
            <w:gridSpan w:val="6"/>
            <w:tcBorders/>
            <w:shd w:color="000000" w:fill="262626"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TURISTA</w:t>
            </w:r>
          </w:p>
        </w:tc>
      </w:tr>
      <w:tr>
        <w:trPr>
          <w:trHeight w:val="340" w:hRule="atLeast"/>
        </w:trPr>
        <w:tc>
          <w:tcPr>
            <w:tcW w:w="3119" w:type="dxa"/>
            <w:tcBorders>
              <w:top w:val="single" w:sz="4" w:space="0" w:color="E26B0A"/>
              <w:left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ESPECÍFICAS</w:t>
            </w:r>
          </w:p>
        </w:tc>
        <w:tc>
          <w:tcPr>
            <w:tcW w:w="1276"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417"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274"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7" w:type="dxa"/>
            <w:tcBorders>
              <w:top w:val="single" w:sz="4" w:space="0" w:color="E26B0A"/>
              <w:left w:val="single" w:sz="4" w:space="0" w:color="E36C0A"/>
              <w:bottom w:val="single" w:sz="4" w:space="0" w:color="E26B0A"/>
              <w:right w:val="single" w:sz="4" w:space="0" w:color="E26B0A"/>
            </w:tcBorders>
            <w:shd w:color="000000" w:fill="E26B0A" w:val="clear"/>
            <w:vAlign w:val="center"/>
          </w:tcPr>
          <w:p>
            <w:pPr>
              <w:pStyle w:val="Normal"/>
              <w:widowControl w:val="false"/>
              <w:spacing w:lineRule="auto" w:line="240" w:before="0" w:after="0"/>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c>
          <w:tcPr>
            <w:tcW w:w="1275"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0-11</w:t>
            </w:r>
          </w:p>
        </w:tc>
      </w:tr>
      <w:tr>
        <w:trPr>
          <w:trHeight w:val="340" w:hRule="atLeast"/>
        </w:trPr>
        <w:tc>
          <w:tcPr>
            <w:tcW w:w="3119" w:type="dxa"/>
            <w:tcBorders>
              <w:top w:val="single" w:sz="4" w:space="0" w:color="E36C0A"/>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2023:</w:t>
            </w:r>
            <w:r>
              <w:rPr>
                <w:rFonts w:eastAsia="Times New Roman" w:cs="Arial" w:ascii="Arial" w:hAnsi="Arial"/>
                <w:b/>
                <w:bCs/>
                <w:sz w:val="18"/>
                <w:szCs w:val="18"/>
                <w:lang w:eastAsia="es-ES"/>
              </w:rPr>
              <w:br/>
            </w:r>
            <w:r>
              <w:rPr>
                <w:rFonts w:eastAsia="Times New Roman" w:cs="Arial" w:ascii="Arial" w:hAnsi="Arial"/>
                <w:sz w:val="18"/>
                <w:szCs w:val="18"/>
                <w:lang w:eastAsia="es-ES"/>
              </w:rPr>
              <w:t>Octubre 02 y 09 (lunes)</w:t>
            </w:r>
          </w:p>
        </w:tc>
        <w:tc>
          <w:tcPr>
            <w:tcW w:w="1276"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2,006</w:t>
            </w:r>
          </w:p>
        </w:tc>
        <w:tc>
          <w:tcPr>
            <w:tcW w:w="1417"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1,378</w:t>
            </w:r>
          </w:p>
        </w:tc>
        <w:tc>
          <w:tcPr>
            <w:tcW w:w="1274"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1,235</w:t>
            </w:r>
          </w:p>
        </w:tc>
        <w:tc>
          <w:tcPr>
            <w:tcW w:w="1277" w:type="dxa"/>
            <w:tcBorders>
              <w:top w:val="single" w:sz="4" w:space="0" w:color="E36C0A"/>
              <w:left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1,178</w:t>
            </w:r>
          </w:p>
        </w:tc>
        <w:tc>
          <w:tcPr>
            <w:tcW w:w="1275"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738</w:t>
            </w:r>
          </w:p>
        </w:tc>
      </w:tr>
      <w:tr>
        <w:trPr>
          <w:trHeight w:val="340" w:hRule="atLeast"/>
        </w:trPr>
        <w:tc>
          <w:tcPr>
            <w:tcW w:w="3119" w:type="dxa"/>
            <w:tcBorders>
              <w:top w:val="single" w:sz="4" w:space="0" w:color="E36C0A"/>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2023</w:t>
            </w:r>
            <w:r>
              <w:rPr>
                <w:rFonts w:eastAsia="Times New Roman" w:cs="Arial" w:ascii="Arial" w:hAnsi="Arial"/>
                <w:b/>
                <w:bCs/>
                <w:sz w:val="18"/>
                <w:szCs w:val="18"/>
                <w:lang w:eastAsia="es-ES"/>
              </w:rPr>
              <w:br/>
            </w:r>
            <w:r>
              <w:rPr>
                <w:rFonts w:eastAsia="Times New Roman" w:cs="Arial" w:ascii="Arial" w:hAnsi="Arial"/>
                <w:sz w:val="18"/>
                <w:szCs w:val="18"/>
                <w:lang w:eastAsia="es-ES"/>
              </w:rPr>
              <w:t>Octubre 15, 22, 29 (domingo)</w:t>
              <w:br/>
              <w:t>Noviembre 05, 12, 19, 26 (domingo)</w:t>
              <w:br/>
              <w:t>Diciembre 03, 10 (domingo) y 20 (miércoles)</w:t>
            </w:r>
            <w:r>
              <w:rPr>
                <w:rFonts w:eastAsia="Times New Roman" w:cs="Arial" w:ascii="Arial" w:hAnsi="Arial"/>
                <w:b/>
                <w:bCs/>
                <w:sz w:val="18"/>
                <w:szCs w:val="18"/>
                <w:lang w:eastAsia="es-ES"/>
              </w:rPr>
              <w:br/>
            </w:r>
            <w:r>
              <w:rPr>
                <w:rFonts w:eastAsia="Times New Roman" w:cs="Arial" w:ascii="Arial" w:hAnsi="Arial"/>
                <w:b/>
                <w:bCs/>
                <w:color w:val="FF0000"/>
                <w:sz w:val="18"/>
                <w:szCs w:val="18"/>
                <w:lang w:eastAsia="es-ES"/>
              </w:rPr>
              <w:t>2024*</w:t>
            </w:r>
            <w:r>
              <w:rPr>
                <w:rFonts w:eastAsia="Times New Roman" w:cs="Arial" w:ascii="Arial" w:hAnsi="Arial"/>
                <w:b/>
                <w:bCs/>
                <w:sz w:val="18"/>
                <w:szCs w:val="18"/>
                <w:lang w:eastAsia="es-ES"/>
              </w:rPr>
              <w:br/>
            </w:r>
            <w:r>
              <w:rPr>
                <w:rFonts w:eastAsia="Times New Roman" w:cs="Arial" w:ascii="Arial" w:hAnsi="Arial"/>
                <w:sz w:val="18"/>
                <w:szCs w:val="18"/>
                <w:lang w:eastAsia="es-ES"/>
              </w:rPr>
              <w:t>Marzo 03, 10, 17, 24, 31 (domingo)</w:t>
              <w:br/>
              <w:t>Abril 07, 14, 21, 28 (domingo)</w:t>
            </w:r>
          </w:p>
        </w:tc>
        <w:tc>
          <w:tcPr>
            <w:tcW w:w="1276"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1,666</w:t>
            </w:r>
          </w:p>
        </w:tc>
        <w:tc>
          <w:tcPr>
            <w:tcW w:w="1417"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1,215</w:t>
            </w:r>
          </w:p>
        </w:tc>
        <w:tc>
          <w:tcPr>
            <w:tcW w:w="1274"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1,132</w:t>
            </w:r>
          </w:p>
        </w:tc>
        <w:tc>
          <w:tcPr>
            <w:tcW w:w="1277"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1,106</w:t>
            </w:r>
          </w:p>
        </w:tc>
        <w:tc>
          <w:tcPr>
            <w:tcW w:w="1275"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738</w:t>
            </w:r>
          </w:p>
        </w:tc>
      </w:tr>
      <w:tr>
        <w:trPr>
          <w:trHeight w:val="340" w:hRule="atLeast"/>
        </w:trPr>
        <w:tc>
          <w:tcPr>
            <w:tcW w:w="3119"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2023</w:t>
            </w:r>
            <w:r>
              <w:rPr>
                <w:rFonts w:eastAsia="Times New Roman" w:cs="Arial" w:ascii="Arial" w:hAnsi="Arial"/>
                <w:b/>
                <w:bCs/>
                <w:sz w:val="18"/>
                <w:szCs w:val="18"/>
                <w:lang w:eastAsia="es-ES"/>
              </w:rPr>
              <w:br/>
            </w:r>
            <w:r>
              <w:rPr>
                <w:rFonts w:eastAsia="Times New Roman" w:cs="Arial" w:ascii="Arial" w:hAnsi="Arial"/>
                <w:sz w:val="18"/>
                <w:szCs w:val="18"/>
                <w:lang w:eastAsia="es-ES"/>
              </w:rPr>
              <w:t>Diciembre 27 (miércoles)</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1,846</w:t>
            </w:r>
          </w:p>
        </w:tc>
        <w:tc>
          <w:tcPr>
            <w:tcW w:w="141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1,307</w:t>
            </w:r>
          </w:p>
        </w:tc>
        <w:tc>
          <w:tcPr>
            <w:tcW w:w="127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1,198</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1,159</w:t>
            </w:r>
          </w:p>
        </w:tc>
        <w:tc>
          <w:tcPr>
            <w:tcW w:w="1275" w:type="dxa"/>
            <w:tcBorders>
              <w:bottom w:val="single" w:sz="4" w:space="0" w:color="E26B0A"/>
              <w:right w:val="single" w:sz="4" w:space="0" w:color="E36C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738</w:t>
            </w:r>
          </w:p>
        </w:tc>
      </w:tr>
      <w:tr>
        <w:trPr>
          <w:trHeight w:val="340" w:hRule="atLeast"/>
        </w:trPr>
        <w:tc>
          <w:tcPr>
            <w:tcW w:w="3119" w:type="dxa"/>
            <w:tcBorders>
              <w:top w:val="single" w:sz="4" w:space="0" w:color="E26B0A"/>
              <w:left w:val="single" w:sz="4" w:space="0" w:color="E26B0A"/>
              <w:bottom w:val="single" w:sz="4" w:space="0" w:color="E26B0A"/>
              <w:right w:val="single" w:sz="4" w:space="0" w:color="E26B0A"/>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2024</w:t>
            </w:r>
            <w:r>
              <w:rPr>
                <w:rFonts w:eastAsia="Times New Roman" w:cs="Arial" w:ascii="Arial" w:hAnsi="Arial"/>
                <w:b/>
                <w:bCs/>
                <w:sz w:val="18"/>
                <w:szCs w:val="18"/>
                <w:lang w:eastAsia="es-ES"/>
              </w:rPr>
              <w:t xml:space="preserve"> </w:t>
            </w:r>
            <w:r>
              <w:rPr>
                <w:rFonts w:eastAsia="Times New Roman" w:cs="Arial" w:ascii="Arial" w:hAnsi="Arial"/>
                <w:sz w:val="18"/>
                <w:szCs w:val="18"/>
                <w:lang w:eastAsia="es-ES"/>
              </w:rPr>
              <w:t>(lunes)</w:t>
              <w:br/>
              <w:t>Mayo 06, 13, 20, 27</w:t>
              <w:br/>
              <w:t>Junio 10, 17, 24</w:t>
              <w:br/>
              <w:t>Octubre 07 y 14</w:t>
            </w:r>
          </w:p>
        </w:tc>
        <w:tc>
          <w:tcPr>
            <w:tcW w:w="1276" w:type="dxa"/>
            <w:tcBorders>
              <w:top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2,254</w:t>
            </w:r>
          </w:p>
        </w:tc>
        <w:tc>
          <w:tcPr>
            <w:tcW w:w="1417" w:type="dxa"/>
            <w:tcBorders>
              <w:top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1,549</w:t>
            </w:r>
          </w:p>
        </w:tc>
        <w:tc>
          <w:tcPr>
            <w:tcW w:w="1274" w:type="dxa"/>
            <w:tcBorders>
              <w:top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1,384</w:t>
            </w:r>
          </w:p>
        </w:tc>
        <w:tc>
          <w:tcPr>
            <w:tcW w:w="1277" w:type="dxa"/>
            <w:tcBorders>
              <w:top w:val="single" w:sz="4" w:space="0" w:color="E26B0A"/>
              <w:bottom w:val="single" w:sz="4" w:space="0" w:color="E36C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1,319</w:t>
            </w:r>
          </w:p>
        </w:tc>
        <w:tc>
          <w:tcPr>
            <w:tcW w:w="1275" w:type="dxa"/>
            <w:tcBorders>
              <w:bottom w:val="single" w:sz="4" w:space="0" w:color="E36C0A"/>
              <w:right w:val="single" w:sz="4" w:space="0" w:color="E36C0A"/>
            </w:tcBorders>
            <w:vAlign w:val="center"/>
          </w:tcPr>
          <w:p>
            <w:pPr>
              <w:pStyle w:val="Normal"/>
              <w:widowControl w:val="false"/>
              <w:spacing w:before="0" w:after="200"/>
              <w:jc w:val="center"/>
              <w:rPr>
                <w:rFonts w:ascii="Arial" w:hAnsi="Arial" w:cs="Arial"/>
                <w:sz w:val="18"/>
                <w:szCs w:val="18"/>
              </w:rPr>
            </w:pPr>
            <w:r>
              <w:rPr>
                <w:rFonts w:cs="Arial" w:ascii="Arial" w:hAnsi="Arial"/>
                <w:sz w:val="18"/>
                <w:szCs w:val="18"/>
              </w:rPr>
              <w:t>USD 1, 027</w:t>
            </w:r>
          </w:p>
        </w:tc>
      </w:tr>
      <w:tr>
        <w:trPr>
          <w:trHeight w:val="340" w:hRule="atLeast"/>
        </w:trPr>
        <w:tc>
          <w:tcPr>
            <w:tcW w:w="3119"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 xml:space="preserve">2024 </w:t>
            </w:r>
            <w:r>
              <w:rPr>
                <w:rFonts w:eastAsia="Times New Roman" w:cs="Arial" w:ascii="Arial" w:hAnsi="Arial"/>
                <w:color w:val="000000" w:themeColor="text1"/>
                <w:sz w:val="18"/>
                <w:szCs w:val="18"/>
                <w:lang w:eastAsia="es-ES"/>
              </w:rPr>
              <w:t>(lunes)</w:t>
              <w:br/>
            </w:r>
            <w:r>
              <w:rPr>
                <w:rFonts w:eastAsia="Times New Roman" w:cs="Arial" w:ascii="Arial" w:hAnsi="Arial"/>
                <w:sz w:val="18"/>
                <w:szCs w:val="18"/>
                <w:lang w:eastAsia="es-ES"/>
              </w:rPr>
              <w:t>Julio 01, 08, 15</w:t>
              <w:br/>
              <w:t>Agosto  01 (jueves), 05, 12, 19, 26</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2,366</w:t>
            </w:r>
          </w:p>
        </w:tc>
        <w:tc>
          <w:tcPr>
            <w:tcW w:w="141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1,606</w:t>
            </w:r>
          </w:p>
        </w:tc>
        <w:tc>
          <w:tcPr>
            <w:tcW w:w="127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1,420</w:t>
            </w:r>
          </w:p>
        </w:tc>
        <w:tc>
          <w:tcPr>
            <w:tcW w:w="1277" w:type="dxa"/>
            <w:tcBorders>
              <w:top w:val="single" w:sz="4" w:space="0" w:color="E36C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 345</w:t>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c>
          <w:tcPr>
            <w:tcW w:w="1275" w:type="dxa"/>
            <w:tcBorders>
              <w:top w:val="single" w:sz="4" w:space="0" w:color="E36C0A"/>
              <w:bottom w:val="single" w:sz="4" w:space="0" w:color="E36C0A"/>
              <w:right w:val="single" w:sz="4" w:space="0" w:color="E36C0A"/>
            </w:tcBorders>
            <w:vAlign w:val="center"/>
          </w:tcPr>
          <w:p>
            <w:pPr>
              <w:pStyle w:val="Normal"/>
              <w:widowControl w:val="false"/>
              <w:spacing w:before="0" w:after="200"/>
              <w:jc w:val="center"/>
              <w:rPr>
                <w:rFonts w:ascii="Arial" w:hAnsi="Arial" w:cs="Arial"/>
                <w:sz w:val="18"/>
                <w:szCs w:val="18"/>
              </w:rPr>
            </w:pPr>
            <w:r>
              <w:rPr>
                <w:rFonts w:cs="Arial" w:ascii="Arial" w:hAnsi="Arial"/>
                <w:sz w:val="18"/>
                <w:szCs w:val="18"/>
              </w:rPr>
              <w:t>USD 1, 027</w:t>
            </w:r>
          </w:p>
        </w:tc>
      </w:tr>
      <w:tr>
        <w:trPr>
          <w:trHeight w:val="340" w:hRule="atLeast"/>
        </w:trPr>
        <w:tc>
          <w:tcPr>
            <w:tcW w:w="3119" w:type="dxa"/>
            <w:tcBorders>
              <w:left w:val="single" w:sz="4" w:space="0" w:color="E26B0A"/>
              <w:bottom w:val="single" w:sz="4" w:space="0" w:color="E36C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 xml:space="preserve">2024 </w:t>
            </w:r>
            <w:r>
              <w:rPr>
                <w:rFonts w:eastAsia="Times New Roman" w:cs="Arial" w:ascii="Arial" w:hAnsi="Arial"/>
                <w:color w:val="000000" w:themeColor="text1"/>
                <w:sz w:val="18"/>
                <w:szCs w:val="18"/>
                <w:lang w:eastAsia="es-ES"/>
              </w:rPr>
              <w:t>(lunes)</w:t>
            </w:r>
            <w:r>
              <w:rPr>
                <w:rFonts w:eastAsia="Times New Roman" w:cs="Arial" w:ascii="Arial" w:hAnsi="Arial"/>
                <w:b/>
                <w:bCs/>
                <w:color w:val="FF0000"/>
                <w:sz w:val="18"/>
                <w:szCs w:val="18"/>
                <w:lang w:eastAsia="es-ES"/>
              </w:rPr>
              <w:br/>
            </w:r>
            <w:r>
              <w:rPr>
                <w:rFonts w:eastAsia="Times New Roman" w:cs="Arial" w:ascii="Arial" w:hAnsi="Arial"/>
                <w:sz w:val="18"/>
                <w:szCs w:val="18"/>
                <w:lang w:eastAsia="es-ES"/>
              </w:rPr>
              <w:t>Septiembre 02, 09, 16, 23, 30</w:t>
            </w:r>
          </w:p>
        </w:tc>
        <w:tc>
          <w:tcPr>
            <w:tcW w:w="1276" w:type="dxa"/>
            <w:tcBorders>
              <w:bottom w:val="single" w:sz="4" w:space="0" w:color="E36C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2,311</w:t>
            </w:r>
          </w:p>
        </w:tc>
        <w:tc>
          <w:tcPr>
            <w:tcW w:w="1417" w:type="dxa"/>
            <w:tcBorders>
              <w:bottom w:val="single" w:sz="4" w:space="0" w:color="E36C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1,578</w:t>
            </w:r>
          </w:p>
        </w:tc>
        <w:tc>
          <w:tcPr>
            <w:tcW w:w="1274" w:type="dxa"/>
            <w:tcBorders>
              <w:bottom w:val="single" w:sz="4" w:space="0" w:color="E36C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1,402</w:t>
            </w:r>
          </w:p>
        </w:tc>
        <w:tc>
          <w:tcPr>
            <w:tcW w:w="1277" w:type="dxa"/>
            <w:tcBorders>
              <w:bottom w:val="single" w:sz="4" w:space="0" w:color="E36C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1,330</w:t>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c>
          <w:tcPr>
            <w:tcW w:w="1275" w:type="dxa"/>
            <w:tcBorders>
              <w:top w:val="single" w:sz="4" w:space="0" w:color="E36C0A"/>
              <w:bottom w:val="single" w:sz="4" w:space="0" w:color="E36C0A"/>
              <w:right w:val="single" w:sz="4" w:space="0" w:color="E36C0A"/>
            </w:tcBorders>
            <w:vAlign w:val="center"/>
          </w:tcPr>
          <w:p>
            <w:pPr>
              <w:pStyle w:val="Normal"/>
              <w:widowControl w:val="false"/>
              <w:spacing w:before="0" w:after="200"/>
              <w:jc w:val="center"/>
              <w:rPr>
                <w:rFonts w:ascii="Arial" w:hAnsi="Arial" w:cs="Arial"/>
                <w:sz w:val="18"/>
                <w:szCs w:val="18"/>
              </w:rPr>
            </w:pPr>
            <w:r>
              <w:rPr>
                <w:rFonts w:cs="Arial" w:ascii="Arial" w:hAnsi="Arial"/>
                <w:sz w:val="18"/>
                <w:szCs w:val="18"/>
              </w:rPr>
              <w:t>USD 1, 027</w:t>
            </w:r>
          </w:p>
        </w:tc>
      </w:tr>
      <w:tr>
        <w:trPr>
          <w:trHeight w:val="340" w:hRule="atLeast"/>
        </w:trPr>
        <w:tc>
          <w:tcPr>
            <w:tcW w:w="3119"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2024</w:t>
            </w:r>
            <w:r>
              <w:rPr>
                <w:rFonts w:eastAsia="Times New Roman" w:cs="Arial" w:ascii="Arial" w:hAnsi="Arial"/>
                <w:b/>
                <w:bCs/>
                <w:sz w:val="18"/>
                <w:szCs w:val="18"/>
                <w:lang w:eastAsia="es-ES"/>
              </w:rPr>
              <w:br/>
            </w:r>
            <w:r>
              <w:rPr>
                <w:rFonts w:eastAsia="Times New Roman" w:cs="Arial" w:ascii="Arial" w:hAnsi="Arial"/>
                <w:sz w:val="18"/>
                <w:szCs w:val="18"/>
                <w:lang w:eastAsia="es-ES"/>
              </w:rPr>
              <w:t>Junio 03 Formula 1</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2,612</w:t>
            </w:r>
          </w:p>
        </w:tc>
        <w:tc>
          <w:tcPr>
            <w:tcW w:w="141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1,728</w:t>
            </w:r>
          </w:p>
        </w:tc>
        <w:tc>
          <w:tcPr>
            <w:tcW w:w="127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1,503</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1,408</w:t>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c>
          <w:tcPr>
            <w:tcW w:w="1275" w:type="dxa"/>
            <w:tcBorders>
              <w:bottom w:val="single" w:sz="4" w:space="0" w:color="E36C0A"/>
              <w:right w:val="single" w:sz="4" w:space="0" w:color="E36C0A"/>
            </w:tcBorders>
            <w:vAlign w:val="center"/>
          </w:tcPr>
          <w:p>
            <w:pPr>
              <w:pStyle w:val="Normal"/>
              <w:widowControl w:val="false"/>
              <w:spacing w:before="0" w:after="200"/>
              <w:jc w:val="center"/>
              <w:rPr>
                <w:rFonts w:ascii="Arial" w:hAnsi="Arial" w:cs="Arial"/>
                <w:sz w:val="18"/>
                <w:szCs w:val="18"/>
              </w:rPr>
            </w:pPr>
            <w:r>
              <w:rPr>
                <w:rFonts w:cs="Arial" w:ascii="Arial" w:hAnsi="Arial"/>
                <w:sz w:val="18"/>
                <w:szCs w:val="18"/>
              </w:rPr>
              <w:t>USD 1, 206</w:t>
            </w:r>
          </w:p>
        </w:tc>
      </w:tr>
      <w:tr>
        <w:trPr>
          <w:trHeight w:val="340" w:hRule="atLeast"/>
        </w:trPr>
        <w:tc>
          <w:tcPr>
            <w:tcW w:w="3119"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2024</w:t>
            </w:r>
            <w:r>
              <w:rPr>
                <w:rFonts w:eastAsia="Times New Roman" w:cs="Arial" w:ascii="Arial" w:hAnsi="Arial"/>
                <w:b/>
                <w:bCs/>
                <w:sz w:val="18"/>
                <w:szCs w:val="18"/>
                <w:lang w:eastAsia="es-ES"/>
              </w:rPr>
              <w:br/>
            </w:r>
            <w:r>
              <w:rPr>
                <w:rFonts w:eastAsia="Times New Roman" w:cs="Arial" w:ascii="Arial" w:hAnsi="Arial"/>
                <w:sz w:val="18"/>
                <w:szCs w:val="18"/>
                <w:lang w:eastAsia="es-ES"/>
              </w:rPr>
              <w:t xml:space="preserve">22 y 29 de julio </w:t>
              <w:br/>
              <w:t>Festival Osheaga Montreal</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2,645</w:t>
            </w:r>
          </w:p>
        </w:tc>
        <w:tc>
          <w:tcPr>
            <w:tcW w:w="141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1,745</w:t>
            </w:r>
          </w:p>
        </w:tc>
        <w:tc>
          <w:tcPr>
            <w:tcW w:w="127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1,513</w:t>
            </w:r>
          </w:p>
        </w:tc>
        <w:tc>
          <w:tcPr>
            <w:tcW w:w="1277" w:type="dxa"/>
            <w:tcBorders>
              <w:bottom w:val="single" w:sz="4" w:space="0" w:color="E36C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1,415</w:t>
            </w:r>
          </w:p>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r>
          </w:p>
        </w:tc>
        <w:tc>
          <w:tcPr>
            <w:tcW w:w="1275" w:type="dxa"/>
            <w:tcBorders>
              <w:top w:val="single" w:sz="4" w:space="0" w:color="E36C0A"/>
              <w:bottom w:val="single" w:sz="4" w:space="0" w:color="E36C0A"/>
              <w:right w:val="single" w:sz="4" w:space="0" w:color="E36C0A"/>
            </w:tcBorders>
            <w:vAlign w:val="center"/>
          </w:tcPr>
          <w:p>
            <w:pPr>
              <w:pStyle w:val="Normal"/>
              <w:widowControl w:val="false"/>
              <w:spacing w:before="0" w:after="200"/>
              <w:jc w:val="center"/>
              <w:rPr>
                <w:rFonts w:ascii="Arial" w:hAnsi="Arial" w:cs="Arial"/>
                <w:sz w:val="18"/>
                <w:szCs w:val="18"/>
              </w:rPr>
            </w:pPr>
            <w:r>
              <w:rPr>
                <w:rFonts w:cs="Arial" w:ascii="Arial" w:hAnsi="Arial"/>
                <w:sz w:val="18"/>
                <w:szCs w:val="18"/>
              </w:rPr>
              <w:t>USD 1, 166</w:t>
            </w:r>
          </w:p>
        </w:tc>
      </w:tr>
    </w:tbl>
    <w:p>
      <w:pPr>
        <w:pStyle w:val="Normal"/>
        <w:spacing w:lineRule="auto" w:line="240" w:before="0" w:after="0"/>
        <w:rPr>
          <w:rFonts w:ascii="Arial" w:hAnsi="Arial" w:eastAsia="Times New Roman" w:cs="Arial"/>
          <w:b/>
          <w:b/>
          <w:i/>
          <w:i/>
          <w:iCs/>
          <w:color w:val="000000" w:themeColor="text1"/>
          <w:sz w:val="10"/>
          <w:szCs w:val="10"/>
          <w:lang w:eastAsia="es-ES"/>
        </w:rPr>
      </w:pPr>
      <w:r>
        <w:rPr>
          <w:rFonts w:eastAsia="Times New Roman" w:cs="Arial" w:ascii="Arial" w:hAnsi="Arial"/>
          <w:b/>
          <w:i/>
          <w:iCs/>
          <w:color w:val="000000" w:themeColor="text1"/>
          <w:sz w:val="10"/>
          <w:szCs w:val="10"/>
          <w:lang w:eastAsia="es-ES"/>
        </w:rPr>
      </w:r>
    </w:p>
    <w:tbl>
      <w:tblPr>
        <w:tblpPr w:bottomFromText="0" w:horzAnchor="text" w:leftFromText="141" w:rightFromText="141" w:tblpX="0" w:tblpY="1" w:topFromText="0" w:vertAnchor="text"/>
        <w:tblW w:w="9664"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118"/>
        <w:gridCol w:w="1277"/>
        <w:gridCol w:w="1416"/>
        <w:gridCol w:w="1276"/>
        <w:gridCol w:w="1277"/>
        <w:gridCol w:w="1299"/>
      </w:tblGrid>
      <w:tr>
        <w:trPr>
          <w:trHeight w:val="340" w:hRule="atLeast"/>
        </w:trPr>
        <w:tc>
          <w:tcPr>
            <w:tcW w:w="9663" w:type="dxa"/>
            <w:gridSpan w:val="6"/>
            <w:tcBorders/>
            <w:shd w:color="000000" w:fill="262626"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PRIMERA</w:t>
            </w:r>
          </w:p>
        </w:tc>
      </w:tr>
      <w:tr>
        <w:trPr>
          <w:trHeight w:val="340" w:hRule="atLeast"/>
        </w:trPr>
        <w:tc>
          <w:tcPr>
            <w:tcW w:w="3118" w:type="dxa"/>
            <w:tcBorders>
              <w:top w:val="single" w:sz="4" w:space="0" w:color="E26B0A"/>
              <w:left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ESPECÍFICAS</w:t>
            </w:r>
          </w:p>
        </w:tc>
        <w:tc>
          <w:tcPr>
            <w:tcW w:w="1277"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416"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276"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7"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c>
          <w:tcPr>
            <w:tcW w:w="1299"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0-11</w:t>
            </w:r>
          </w:p>
        </w:tc>
      </w:tr>
      <w:tr>
        <w:trPr>
          <w:trHeight w:val="340" w:hRule="atLeast"/>
        </w:trPr>
        <w:tc>
          <w:tcPr>
            <w:tcW w:w="3118" w:type="dxa"/>
            <w:tcBorders>
              <w:top w:val="single" w:sz="4" w:space="0" w:color="F79646"/>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2023</w:t>
            </w:r>
            <w:r>
              <w:rPr>
                <w:rFonts w:eastAsia="Times New Roman" w:cs="Arial" w:ascii="Arial" w:hAnsi="Arial"/>
                <w:b/>
                <w:bCs/>
                <w:sz w:val="18"/>
                <w:szCs w:val="18"/>
                <w:lang w:eastAsia="es-ES"/>
              </w:rPr>
              <w:br/>
            </w:r>
            <w:r>
              <w:rPr>
                <w:rFonts w:eastAsia="Times New Roman" w:cs="Arial" w:ascii="Arial" w:hAnsi="Arial"/>
                <w:sz w:val="18"/>
                <w:szCs w:val="18"/>
                <w:lang w:eastAsia="es-ES"/>
              </w:rPr>
              <w:t>Octubre 02, 09 (lunes)</w:t>
            </w:r>
            <w:r>
              <w:rPr>
                <w:rFonts w:eastAsia="Times New Roman" w:cs="Arial" w:ascii="Arial" w:hAnsi="Arial"/>
                <w:b/>
                <w:bCs/>
                <w:sz w:val="18"/>
                <w:szCs w:val="18"/>
                <w:lang w:eastAsia="es-ES"/>
              </w:rPr>
              <w:br/>
            </w:r>
            <w:r>
              <w:rPr>
                <w:rFonts w:eastAsia="Times New Roman" w:cs="Arial" w:ascii="Arial" w:hAnsi="Arial"/>
                <w:sz w:val="18"/>
                <w:szCs w:val="18"/>
                <w:lang w:eastAsia="es-ES"/>
              </w:rPr>
              <w:t>Octubre 15, 22 (domingo)</w:t>
            </w:r>
          </w:p>
        </w:tc>
        <w:tc>
          <w:tcPr>
            <w:tcW w:w="1277" w:type="dxa"/>
            <w:tcBorders>
              <w:top w:val="single" w:sz="4" w:space="0" w:color="F79646"/>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2,774</w:t>
            </w:r>
          </w:p>
        </w:tc>
        <w:tc>
          <w:tcPr>
            <w:tcW w:w="1416" w:type="dxa"/>
            <w:tcBorders>
              <w:top w:val="single" w:sz="4" w:space="0" w:color="F79646"/>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1,818</w:t>
            </w:r>
          </w:p>
        </w:tc>
        <w:tc>
          <w:tcPr>
            <w:tcW w:w="1276" w:type="dxa"/>
            <w:tcBorders>
              <w:top w:val="single" w:sz="4" w:space="0" w:color="F79646"/>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1,611</w:t>
            </w:r>
          </w:p>
        </w:tc>
        <w:tc>
          <w:tcPr>
            <w:tcW w:w="1277" w:type="dxa"/>
            <w:tcBorders>
              <w:top w:val="single" w:sz="4" w:space="0" w:color="F79646"/>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1,526</w:t>
            </w:r>
          </w:p>
        </w:tc>
        <w:tc>
          <w:tcPr>
            <w:tcW w:w="1299" w:type="dxa"/>
            <w:tcBorders>
              <w:top w:val="single" w:sz="4" w:space="0" w:color="F79646"/>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746</w:t>
            </w:r>
          </w:p>
        </w:tc>
      </w:tr>
      <w:tr>
        <w:trPr>
          <w:trHeight w:val="340" w:hRule="atLeast"/>
        </w:trPr>
        <w:tc>
          <w:tcPr>
            <w:tcW w:w="3118"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 xml:space="preserve">2023 </w:t>
            </w:r>
            <w:r>
              <w:rPr>
                <w:rFonts w:eastAsia="Times New Roman" w:cs="Arial" w:ascii="Arial" w:hAnsi="Arial"/>
                <w:b/>
                <w:bCs/>
                <w:sz w:val="18"/>
                <w:szCs w:val="18"/>
                <w:lang w:eastAsia="es-ES"/>
              </w:rPr>
              <w:br/>
            </w:r>
            <w:r>
              <w:rPr>
                <w:rFonts w:eastAsia="Times New Roman" w:cs="Arial" w:ascii="Arial" w:hAnsi="Arial"/>
                <w:sz w:val="18"/>
                <w:szCs w:val="18"/>
                <w:lang w:eastAsia="es-ES"/>
              </w:rPr>
              <w:t>Octubre 29 (domingo)</w:t>
              <w:br/>
              <w:t>Noviembre 05 (domingo)</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2,488</w:t>
            </w:r>
          </w:p>
        </w:tc>
        <w:tc>
          <w:tcPr>
            <w:tcW w:w="141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1,666</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1,489</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1,416</w:t>
            </w:r>
          </w:p>
        </w:tc>
        <w:tc>
          <w:tcPr>
            <w:tcW w:w="1299"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746</w:t>
            </w:r>
          </w:p>
        </w:tc>
      </w:tr>
      <w:tr>
        <w:trPr>
          <w:trHeight w:val="340" w:hRule="atLeast"/>
        </w:trPr>
        <w:tc>
          <w:tcPr>
            <w:tcW w:w="3118"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2023</w:t>
            </w:r>
            <w:r>
              <w:rPr>
                <w:rFonts w:eastAsia="Times New Roman" w:cs="Arial" w:ascii="Arial" w:hAnsi="Arial"/>
                <w:b/>
                <w:bCs/>
                <w:sz w:val="18"/>
                <w:szCs w:val="18"/>
                <w:lang w:eastAsia="es-ES"/>
              </w:rPr>
              <w:br/>
            </w:r>
            <w:r>
              <w:rPr>
                <w:rFonts w:eastAsia="Times New Roman" w:cs="Arial" w:ascii="Arial" w:hAnsi="Arial"/>
                <w:sz w:val="18"/>
                <w:szCs w:val="18"/>
                <w:lang w:eastAsia="es-ES"/>
              </w:rPr>
              <w:t>Noviembre 12, 19, 26 (domingo)</w:t>
              <w:br/>
              <w:t>Diciembre 03, 10 (domingo) y 20 (miércoles)</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2,329</w:t>
            </w:r>
          </w:p>
        </w:tc>
        <w:tc>
          <w:tcPr>
            <w:tcW w:w="141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1,588</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1,437</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1,376</w:t>
            </w:r>
          </w:p>
        </w:tc>
        <w:tc>
          <w:tcPr>
            <w:tcW w:w="1299"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746</w:t>
            </w:r>
          </w:p>
        </w:tc>
      </w:tr>
      <w:tr>
        <w:trPr>
          <w:trHeight w:val="340" w:hRule="atLeast"/>
        </w:trPr>
        <w:tc>
          <w:tcPr>
            <w:tcW w:w="3118"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2023</w:t>
            </w:r>
            <w:r>
              <w:rPr>
                <w:rFonts w:eastAsia="Times New Roman" w:cs="Arial" w:ascii="Arial" w:hAnsi="Arial"/>
                <w:b/>
                <w:bCs/>
                <w:sz w:val="18"/>
                <w:szCs w:val="18"/>
                <w:lang w:eastAsia="es-ES"/>
              </w:rPr>
              <w:br/>
            </w:r>
            <w:r>
              <w:rPr>
                <w:rFonts w:eastAsia="Times New Roman" w:cs="Arial" w:ascii="Arial" w:hAnsi="Arial"/>
                <w:sz w:val="18"/>
                <w:szCs w:val="18"/>
                <w:lang w:eastAsia="es-ES"/>
              </w:rPr>
              <w:t>Diciembre 27 (miércoles)</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2,684</w:t>
            </w:r>
          </w:p>
        </w:tc>
        <w:tc>
          <w:tcPr>
            <w:tcW w:w="141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1,763</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1,554</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1,466</w:t>
            </w:r>
          </w:p>
        </w:tc>
        <w:tc>
          <w:tcPr>
            <w:tcW w:w="1299"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746</w:t>
            </w:r>
          </w:p>
        </w:tc>
      </w:tr>
      <w:tr>
        <w:trPr>
          <w:trHeight w:val="340" w:hRule="atLeast"/>
        </w:trPr>
        <w:tc>
          <w:tcPr>
            <w:tcW w:w="3118"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2024</w:t>
            </w:r>
            <w:r>
              <w:rPr>
                <w:rFonts w:eastAsia="Times New Roman" w:cs="Arial" w:ascii="Arial" w:hAnsi="Arial"/>
                <w:b/>
                <w:bCs/>
                <w:sz w:val="18"/>
                <w:szCs w:val="18"/>
                <w:lang w:eastAsia="es-ES"/>
              </w:rPr>
              <w:br/>
            </w:r>
            <w:r>
              <w:rPr>
                <w:rFonts w:eastAsia="Times New Roman" w:cs="Arial" w:ascii="Arial" w:hAnsi="Arial"/>
                <w:sz w:val="18"/>
                <w:szCs w:val="18"/>
                <w:lang w:eastAsia="es-ES"/>
              </w:rPr>
              <w:t>Marzo 03, 10, 17, 24, 31 (domingo)</w:t>
              <w:br/>
              <w:t>Abril 07, 14, 21, 28 (domingo)</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2,359</w:t>
            </w:r>
          </w:p>
        </w:tc>
        <w:tc>
          <w:tcPr>
            <w:tcW w:w="141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1,604</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1,446</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1,384</w:t>
            </w:r>
          </w:p>
        </w:tc>
        <w:tc>
          <w:tcPr>
            <w:tcW w:w="1299"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746</w:t>
            </w:r>
          </w:p>
        </w:tc>
      </w:tr>
      <w:tr>
        <w:trPr>
          <w:trHeight w:val="340" w:hRule="atLeast"/>
        </w:trPr>
        <w:tc>
          <w:tcPr>
            <w:tcW w:w="3118" w:type="dxa"/>
            <w:tcBorders>
              <w:top w:val="single" w:sz="4" w:space="0" w:color="E26B0A"/>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2024</w:t>
            </w:r>
            <w:r>
              <w:rPr>
                <w:rFonts w:eastAsia="Times New Roman" w:cs="Arial" w:ascii="Arial" w:hAnsi="Arial"/>
                <w:b/>
                <w:bCs/>
                <w:sz w:val="18"/>
                <w:szCs w:val="18"/>
                <w:lang w:eastAsia="es-ES"/>
              </w:rPr>
              <w:t xml:space="preserve"> </w:t>
            </w:r>
            <w:r>
              <w:rPr>
                <w:rFonts w:eastAsia="Times New Roman" w:cs="Arial" w:ascii="Arial" w:hAnsi="Arial"/>
                <w:sz w:val="18"/>
                <w:szCs w:val="18"/>
                <w:lang w:eastAsia="es-ES"/>
              </w:rPr>
              <w:t>(lunes)</w:t>
              <w:br/>
              <w:t>Mayo 06, 13, 20, 27</w:t>
              <w:br/>
              <w:t>Octubre 07, 14</w:t>
            </w:r>
          </w:p>
        </w:tc>
        <w:tc>
          <w:tcPr>
            <w:tcW w:w="1277" w:type="dxa"/>
            <w:tcBorders>
              <w:top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2,795</w:t>
            </w:r>
          </w:p>
        </w:tc>
        <w:tc>
          <w:tcPr>
            <w:tcW w:w="1416" w:type="dxa"/>
            <w:tcBorders>
              <w:top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1,865</w:t>
            </w:r>
          </w:p>
        </w:tc>
        <w:tc>
          <w:tcPr>
            <w:tcW w:w="1276" w:type="dxa"/>
            <w:tcBorders>
              <w:top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1,655</w:t>
            </w:r>
          </w:p>
        </w:tc>
        <w:tc>
          <w:tcPr>
            <w:tcW w:w="1277" w:type="dxa"/>
            <w:tcBorders>
              <w:top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1,573</w:t>
            </w:r>
          </w:p>
        </w:tc>
        <w:tc>
          <w:tcPr>
            <w:tcW w:w="1299" w:type="dxa"/>
            <w:tcBorders>
              <w:bottom w:val="single" w:sz="4" w:space="0" w:color="E36C0A"/>
              <w:right w:val="single" w:sz="4" w:space="0" w:color="E36C0A"/>
            </w:tcBorders>
            <w:vAlign w:val="center"/>
          </w:tcPr>
          <w:p>
            <w:pPr>
              <w:pStyle w:val="Normal"/>
              <w:widowControl w:val="false"/>
              <w:spacing w:before="0" w:after="200"/>
              <w:jc w:val="center"/>
              <w:rPr>
                <w:rFonts w:ascii="Times New Roman" w:hAnsi="Times New Roman" w:eastAsia="Times New Roman" w:cs="Times New Roman"/>
                <w:sz w:val="20"/>
                <w:szCs w:val="20"/>
                <w:lang w:eastAsia="es-ES"/>
              </w:rPr>
            </w:pPr>
            <w:r>
              <w:rPr>
                <w:rFonts w:cs="Arial" w:ascii="Arial" w:hAnsi="Arial"/>
                <w:sz w:val="18"/>
                <w:szCs w:val="18"/>
              </w:rPr>
              <w:t>USD 1,082</w:t>
            </w:r>
          </w:p>
        </w:tc>
      </w:tr>
      <w:tr>
        <w:trPr>
          <w:trHeight w:val="340" w:hRule="atLeast"/>
        </w:trPr>
        <w:tc>
          <w:tcPr>
            <w:tcW w:w="3118"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 xml:space="preserve">2024 </w:t>
            </w:r>
            <w:r>
              <w:rPr>
                <w:rFonts w:eastAsia="Times New Roman" w:cs="Arial" w:ascii="Arial" w:hAnsi="Arial"/>
                <w:sz w:val="18"/>
                <w:szCs w:val="18"/>
                <w:lang w:eastAsia="es-ES"/>
              </w:rPr>
              <w:t>(lunes)</w:t>
              <w:br/>
              <w:t>Junio 10, 17, 24</w:t>
              <w:br/>
              <w:t xml:space="preserve">Agosto 26 </w:t>
              <w:br/>
              <w:t>Septiembre 02, 09, 16, 23, 30</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3,018</w:t>
            </w:r>
          </w:p>
        </w:tc>
        <w:tc>
          <w:tcPr>
            <w:tcW w:w="141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1,972</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1,729</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1,630</w:t>
            </w:r>
          </w:p>
        </w:tc>
        <w:tc>
          <w:tcPr>
            <w:tcW w:w="1299" w:type="dxa"/>
            <w:tcBorders>
              <w:top w:val="single" w:sz="4" w:space="0" w:color="E36C0A"/>
              <w:bottom w:val="single" w:sz="4" w:space="0" w:color="E36C0A"/>
              <w:right w:val="single" w:sz="4" w:space="0" w:color="E36C0A"/>
            </w:tcBorders>
            <w:vAlign w:val="center"/>
          </w:tcPr>
          <w:p>
            <w:pPr>
              <w:pStyle w:val="Normal"/>
              <w:widowControl w:val="false"/>
              <w:spacing w:before="0" w:after="200"/>
              <w:jc w:val="center"/>
              <w:rPr>
                <w:rFonts w:ascii="Times New Roman" w:hAnsi="Times New Roman" w:eastAsia="Times New Roman" w:cs="Times New Roman"/>
                <w:sz w:val="20"/>
                <w:szCs w:val="20"/>
                <w:lang w:eastAsia="es-ES"/>
              </w:rPr>
            </w:pPr>
            <w:r>
              <w:rPr>
                <w:rFonts w:cs="Arial" w:ascii="Arial" w:hAnsi="Arial"/>
                <w:sz w:val="18"/>
                <w:szCs w:val="18"/>
              </w:rPr>
              <w:t>USD 1,082</w:t>
            </w:r>
          </w:p>
        </w:tc>
      </w:tr>
      <w:tr>
        <w:trPr>
          <w:trHeight w:val="340" w:hRule="atLeast"/>
        </w:trPr>
        <w:tc>
          <w:tcPr>
            <w:tcW w:w="3118"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color w:val="FF0000"/>
                <w:sz w:val="18"/>
                <w:szCs w:val="18"/>
                <w:lang w:eastAsia="es-ES"/>
              </w:rPr>
              <w:t xml:space="preserve">2024 </w:t>
            </w:r>
            <w:r>
              <w:rPr>
                <w:rFonts w:eastAsia="Times New Roman" w:cs="Arial" w:ascii="Arial" w:hAnsi="Arial"/>
                <w:sz w:val="18"/>
                <w:szCs w:val="18"/>
                <w:lang w:eastAsia="es-ES"/>
              </w:rPr>
              <w:t>(lunes)</w:t>
              <w:br/>
              <w:t xml:space="preserve">Julio 01, 08, 15, 22, 29 </w:t>
              <w:br/>
              <w:t>Agosto 01 (jueves), 05, 12, 19</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3,105</w:t>
            </w:r>
          </w:p>
        </w:tc>
        <w:tc>
          <w:tcPr>
            <w:tcW w:w="141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2,014</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1,753</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1,646</w:t>
            </w:r>
          </w:p>
        </w:tc>
        <w:tc>
          <w:tcPr>
            <w:tcW w:w="1299" w:type="dxa"/>
            <w:tcBorders>
              <w:top w:val="single" w:sz="4" w:space="0" w:color="E36C0A"/>
              <w:bottom w:val="single" w:sz="4" w:space="0" w:color="E36C0A"/>
              <w:right w:val="single" w:sz="4" w:space="0" w:color="E36C0A"/>
            </w:tcBorders>
            <w:vAlign w:val="center"/>
          </w:tcPr>
          <w:p>
            <w:pPr>
              <w:pStyle w:val="Normal"/>
              <w:widowControl w:val="false"/>
              <w:spacing w:before="0" w:after="200"/>
              <w:jc w:val="center"/>
              <w:rPr>
                <w:rFonts w:ascii="Times New Roman" w:hAnsi="Times New Roman" w:eastAsia="Times New Roman" w:cs="Times New Roman"/>
                <w:sz w:val="20"/>
                <w:szCs w:val="20"/>
                <w:lang w:eastAsia="es-ES"/>
              </w:rPr>
            </w:pPr>
            <w:r>
              <w:rPr>
                <w:rFonts w:cs="Arial" w:ascii="Arial" w:hAnsi="Arial"/>
                <w:sz w:val="18"/>
                <w:szCs w:val="18"/>
              </w:rPr>
              <w:t>USD 1,082</w:t>
            </w:r>
          </w:p>
        </w:tc>
      </w:tr>
      <w:tr>
        <w:trPr>
          <w:trHeight w:val="340" w:hRule="atLeast"/>
        </w:trPr>
        <w:tc>
          <w:tcPr>
            <w:tcW w:w="3118"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b/>
                <w:b/>
                <w:bCs/>
                <w:color w:val="FF0000"/>
                <w:sz w:val="18"/>
                <w:szCs w:val="18"/>
                <w:lang w:eastAsia="es-ES"/>
              </w:rPr>
            </w:pPr>
            <w:r>
              <w:rPr>
                <w:rFonts w:eastAsia="Times New Roman" w:cs="Arial" w:ascii="Arial" w:hAnsi="Arial"/>
                <w:b/>
                <w:bCs/>
                <w:color w:val="FF0000"/>
                <w:sz w:val="18"/>
                <w:szCs w:val="18"/>
                <w:lang w:eastAsia="es-ES"/>
              </w:rPr>
              <w:t>2024</w:t>
            </w:r>
          </w:p>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t>Junio 03 Fórmula 1</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3,664</w:t>
            </w:r>
          </w:p>
        </w:tc>
        <w:tc>
          <w:tcPr>
            <w:tcW w:w="141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2,296</w:t>
            </w:r>
          </w:p>
        </w:tc>
        <w:tc>
          <w:tcPr>
            <w:tcW w:w="1276"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1,945</w:t>
            </w:r>
          </w:p>
        </w:tc>
        <w:tc>
          <w:tcPr>
            <w:tcW w:w="1277"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1,792</w:t>
            </w:r>
          </w:p>
        </w:tc>
        <w:tc>
          <w:tcPr>
            <w:tcW w:w="1299" w:type="dxa"/>
            <w:tcBorders>
              <w:top w:val="single" w:sz="4" w:space="0" w:color="E36C0A"/>
              <w:bottom w:val="single" w:sz="4" w:space="0" w:color="E36C0A"/>
              <w:right w:val="single" w:sz="4" w:space="0" w:color="E36C0A"/>
            </w:tcBorders>
            <w:vAlign w:val="center"/>
          </w:tcPr>
          <w:p>
            <w:pPr>
              <w:pStyle w:val="Normal"/>
              <w:widowControl w:val="false"/>
              <w:spacing w:before="0" w:after="200"/>
              <w:jc w:val="center"/>
              <w:rPr>
                <w:rFonts w:ascii="Times New Roman" w:hAnsi="Times New Roman" w:eastAsia="Times New Roman" w:cs="Times New Roman"/>
                <w:sz w:val="20"/>
                <w:szCs w:val="20"/>
                <w:lang w:eastAsia="es-ES"/>
              </w:rPr>
            </w:pPr>
            <w:r>
              <w:rPr>
                <w:rFonts w:cs="Arial" w:ascii="Arial" w:hAnsi="Arial"/>
                <w:sz w:val="18"/>
                <w:szCs w:val="18"/>
              </w:rPr>
              <w:t>USD 1,405</w:t>
            </w:r>
          </w:p>
        </w:tc>
      </w:tr>
    </w:tbl>
    <w:p>
      <w:pPr>
        <w:pStyle w:val="Normal"/>
        <w:spacing w:lineRule="auto" w:line="240" w:before="0" w:after="0"/>
        <w:jc w:val="both"/>
        <w:rPr>
          <w:rStyle w:val="Eop"/>
          <w:rFonts w:ascii="Arial" w:hAnsi="Arial" w:cs="Arial"/>
          <w:b/>
          <w:b/>
          <w:i/>
          <w:i/>
          <w:iCs/>
          <w:color w:val="000000" w:themeColor="text1"/>
          <w:sz w:val="18"/>
          <w:szCs w:val="18"/>
          <w:shd w:fill="FFFFFF" w:val="clear"/>
        </w:rPr>
      </w:pPr>
      <w:r>
        <w:rPr>
          <w:rFonts w:eastAsia="Times New Roman" w:cs="Arial" w:ascii="Arial" w:hAnsi="Arial"/>
          <w:b/>
          <w:i/>
          <w:iCs/>
          <w:color w:val="000000" w:themeColor="text1"/>
          <w:sz w:val="18"/>
          <w:szCs w:val="18"/>
          <w:lang w:eastAsia="es-ES"/>
        </w:rPr>
        <w:t xml:space="preserve">Nota: Se permite hasta 2 menores compartiendo habitación con 2 adultos. </w:t>
      </w:r>
      <w:r>
        <w:rPr>
          <w:rStyle w:val="Normaltextrun"/>
          <w:rFonts w:cs="Arial" w:ascii="Arial" w:hAnsi="Arial"/>
          <w:b/>
          <w:i/>
          <w:iCs/>
          <w:color w:val="000000" w:themeColor="text1"/>
          <w:sz w:val="18"/>
          <w:szCs w:val="18"/>
          <w:shd w:fill="FFFFFF" w:val="clear"/>
        </w:rPr>
        <w:t>Lamentamos tener que tomar esta medida, pero No aconsejamos viajar con menores de 5 años, pero en el caso de hacerlo, el bebé debe ocupar un asiento y viajar en una sillita acorde a los reglamentos canadienses y debemos cobrar el espacio en el autobús y el alquiler de la sillita que usara. Esta sillita No puede ser traída desde su país, ya que debe ser aprobada por Transportes Canadá.</w:t>
      </w:r>
      <w:r>
        <w:rPr>
          <w:rStyle w:val="Eop"/>
          <w:rFonts w:cs="Arial" w:ascii="Arial" w:hAnsi="Arial"/>
          <w:b/>
          <w:i/>
          <w:iCs/>
          <w:color w:val="000000" w:themeColor="text1"/>
          <w:sz w:val="18"/>
          <w:szCs w:val="18"/>
          <w:shd w:fill="FFFFFF" w:val="clear"/>
        </w:rPr>
        <w:t> </w:t>
      </w:r>
    </w:p>
    <w:p>
      <w:pPr>
        <w:pStyle w:val="Normal"/>
        <w:spacing w:lineRule="auto" w:line="240" w:before="0" w:after="0"/>
        <w:rPr>
          <w:rFonts w:ascii="Arial" w:hAnsi="Arial" w:eastAsia="Times New Roman" w:cs="Arial"/>
          <w:b/>
          <w:b/>
          <w:color w:val="E36C0A" w:themeColor="accent6" w:themeShade="bf"/>
          <w:sz w:val="12"/>
          <w:szCs w:val="12"/>
          <w:u w:val="single"/>
          <w:lang w:val="es-MX" w:eastAsia="es-ES"/>
        </w:rPr>
      </w:pPr>
      <w:r>
        <w:rPr>
          <w:rFonts w:eastAsia="Times New Roman" w:cs="Arial" w:ascii="Arial" w:hAnsi="Arial"/>
          <w:b/>
          <w:color w:val="E36C0A" w:themeColor="accent6" w:themeShade="bf"/>
          <w:sz w:val="12"/>
          <w:szCs w:val="12"/>
          <w:u w:val="single"/>
          <w:lang w:val="es-MX"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NoSpacing"/>
        <w:widowControl w:val="false"/>
        <w:numPr>
          <w:ilvl w:val="0"/>
          <w:numId w:val="1"/>
        </w:numPr>
        <w:jc w:val="both"/>
        <w:textAlignment w:val="baseline"/>
        <w:rPr>
          <w:rFonts w:ascii="Arial" w:hAnsi="Arial" w:cs="Arial"/>
          <w:b/>
          <w:b/>
          <w:i/>
          <w:i/>
          <w:color w:val="000000" w:themeColor="text1"/>
          <w:sz w:val="18"/>
          <w:szCs w:val="18"/>
          <w:lang w:val="es-ES" w:eastAsia="es-ES"/>
        </w:rPr>
      </w:pPr>
      <w:r>
        <w:rPr>
          <w:rFonts w:cs="Arial" w:ascii="Arial" w:hAnsi="Arial"/>
          <w:color w:val="000000" w:themeColor="text1"/>
          <w:sz w:val="18"/>
          <w:szCs w:val="18"/>
          <w:lang w:val="es-ES" w:eastAsia="es-ES"/>
        </w:rPr>
        <w:t xml:space="preserve">Traslados aeropuerto - hotel - aeropuerto en servicio compartido en </w:t>
      </w:r>
      <w:r>
        <w:rPr>
          <w:rFonts w:cs="Arial" w:ascii="Arial" w:hAnsi="Arial"/>
          <w:b/>
          <w:bCs/>
          <w:i/>
          <w:iCs/>
          <w:color w:val="000000" w:themeColor="text1"/>
          <w:sz w:val="18"/>
          <w:szCs w:val="18"/>
          <w:lang w:val="es-ES" w:eastAsia="es-ES"/>
        </w:rPr>
        <w:t>horario diurno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Toronto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Niágara</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Ottawa</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02 noches de alojamiento en Quebec</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01 noche de alojamiento en Montreal</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06 desayunos, entre continentales y americanos</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bCs/>
          <w:sz w:val="18"/>
          <w:szCs w:val="18"/>
        </w:rPr>
        <w:t>01 almuerzo típico en Cabaña de miel de arce Chez Dany</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Guía acompañante de habla hispana </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Visita de ciudad en Toronto, Ottawa, Quebec y Montreal en servicio compartido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Paseo en barco Hornblower en Niagara (en caso de o estar disponible se reemplazará por los túneles escénicos en Niagara) en servicio compartido</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Paseo en barco en </w:t>
      </w:r>
      <w:r>
        <w:rPr>
          <w:rFonts w:cs="Arial" w:ascii="Arial" w:hAnsi="Arial"/>
          <w:sz w:val="18"/>
          <w:szCs w:val="18"/>
          <w:lang w:val="es-ES"/>
        </w:rPr>
        <w:t xml:space="preserve">1000 Islas (en caso de no estar disponible se reemplazará por actividad a determinar) en servicio compartido </w:t>
      </w:r>
      <w:r>
        <w:rPr>
          <w:rFonts w:cs="Arial" w:ascii="Arial" w:hAnsi="Arial"/>
          <w:b/>
          <w:bCs/>
          <w:i/>
          <w:iCs/>
          <w:sz w:val="18"/>
          <w:szCs w:val="18"/>
          <w:lang w:val="es-ES"/>
        </w:rPr>
        <w:t xml:space="preserve">para salidas entre </w:t>
      </w:r>
      <w:r>
        <w:rPr>
          <w:rFonts w:cs="Arial" w:ascii="Arial" w:hAnsi="Arial"/>
          <w:b/>
          <w:i/>
          <w:color w:val="000000" w:themeColor="text1"/>
          <w:sz w:val="18"/>
          <w:szCs w:val="18"/>
          <w:lang w:val="es-ES_tradnl" w:eastAsia="es-ES"/>
        </w:rPr>
        <w:t>mayo al 14 de octubre 2024</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rPr>
        <w:t xml:space="preserve">Visita Costa de Beaupre en servicio compartido </w:t>
      </w:r>
      <w:r>
        <w:rPr>
          <w:rFonts w:cs="Arial" w:ascii="Arial" w:hAnsi="Arial"/>
          <w:b/>
          <w:bCs/>
          <w:i/>
          <w:iCs/>
          <w:sz w:val="18"/>
          <w:szCs w:val="18"/>
          <w:lang w:val="es-ES"/>
        </w:rPr>
        <w:t xml:space="preserve">para salidas entre 15 de octubre 2023 y 28 de abril 2024 </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color w:val="000000" w:themeColor="text1"/>
          <w:sz w:val="18"/>
          <w:szCs w:val="18"/>
          <w:shd w:fill="FFFFFF" w:val="clear"/>
        </w:rPr>
        <w:t>Servicio de manejo de 1 maleta por persona en hoteles de categoría Primera (excepto Hotel Chelsea)</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b/>
          <w:bCs/>
          <w:i/>
          <w:iCs/>
          <w:sz w:val="18"/>
          <w:szCs w:val="18"/>
          <w:lang w:val="es-ES" w:eastAsia="es-ES"/>
        </w:rPr>
        <w:t>Seguro de viajero con cobertura COVID</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Asistencia en español 24 hrs</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Boleto de avión México - Toronto / Montreal – México</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Gastos personales</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Excursiones opcionales</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Ningún servicio no especificado claramente en el itinerario y/o en el apartado incluye</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Visita a Costa de Beaupre en salidas entre el 15 y 28 de abril, no incluye almuerzo, Ca</w:t>
      </w:r>
      <w:r>
        <w:rPr>
          <w:rFonts w:cs="Arial" w:ascii="Arial" w:hAnsi="Arial"/>
          <w:sz w:val="18"/>
          <w:szCs w:val="18"/>
          <w:lang w:val="es-ES" w:eastAsia="es-ES"/>
        </w:rPr>
        <w:t>nyon Ste- Anne ni Fonicular en Cataratas Montmorency</w:t>
      </w:r>
    </w:p>
    <w:p>
      <w:pPr>
        <w:pStyle w:val="NoSpacing"/>
        <w:widowControl w:val="false"/>
        <w:numPr>
          <w:ilvl w:val="0"/>
          <w:numId w:val="4"/>
        </w:numPr>
        <w:jc w:val="both"/>
        <w:textAlignment w:val="baseline"/>
        <w:rPr>
          <w:rFonts w:ascii="Arial" w:hAnsi="Arial" w:cs="Arial"/>
          <w:sz w:val="18"/>
          <w:szCs w:val="18"/>
          <w:lang w:val="es-ES" w:eastAsia="es-ES"/>
        </w:rPr>
      </w:pPr>
      <w:r>
        <w:rPr>
          <w:rFonts w:cs="Arial" w:ascii="Arial" w:hAnsi="Arial"/>
          <w:sz w:val="18"/>
          <w:szCs w:val="18"/>
          <w:lang w:val="es-ES" w:eastAsia="es-ES"/>
        </w:rPr>
        <w:t>eTA para Canadá</w:t>
      </w:r>
    </w:p>
    <w:p>
      <w:pPr>
        <w:pStyle w:val="NoSpacing"/>
        <w:widowControl w:val="false"/>
        <w:numPr>
          <w:ilvl w:val="0"/>
          <w:numId w:val="4"/>
        </w:numPr>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t>Requisitos de ingreso COVID</w:t>
      </w:r>
    </w:p>
    <w:p>
      <w:pPr>
        <w:pStyle w:val="NoSpacing"/>
        <w:widowControl w:val="false"/>
        <w:ind w:left="720" w:hanging="0"/>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SERVICIOS OPCIONALES</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PRECIOS POR PERSONA EN USD:</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W w:w="7508"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4106"/>
        <w:gridCol w:w="1843"/>
        <w:gridCol w:w="1559"/>
      </w:tblGrid>
      <w:tr>
        <w:trPr>
          <w:trHeight w:val="397" w:hRule="atLeast"/>
        </w:trPr>
        <w:tc>
          <w:tcPr>
            <w:tcW w:w="4106"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SERVICIOS</w:t>
            </w:r>
          </w:p>
        </w:tc>
        <w:tc>
          <w:tcPr>
            <w:tcW w:w="1843"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ADULTO</w:t>
            </w:r>
          </w:p>
        </w:tc>
        <w:tc>
          <w:tcPr>
            <w:tcW w:w="1559"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 A 11 AÑOS</w:t>
            </w:r>
          </w:p>
        </w:tc>
      </w:tr>
      <w:tr>
        <w:trPr>
          <w:trHeight w:val="397" w:hRule="atLeast"/>
        </w:trPr>
        <w:tc>
          <w:tcPr>
            <w:tcW w:w="4106" w:type="dxa"/>
            <w:tcBorders>
              <w:left w:val="single" w:sz="4" w:space="0" w:color="C00000"/>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Opcional 2 comidas: </w:t>
            </w:r>
            <w:r>
              <w:rPr>
                <w:rFonts w:eastAsia="Times New Roman" w:cs="Arial" w:ascii="Arial" w:hAnsi="Arial"/>
                <w:sz w:val="18"/>
                <w:szCs w:val="18"/>
                <w:lang w:eastAsia="es-ES"/>
              </w:rPr>
              <w:t>1 almuerzo (el día 2) y Cena (el día 4)</w:t>
            </w:r>
          </w:p>
        </w:tc>
        <w:tc>
          <w:tcPr>
            <w:tcW w:w="1843"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135 </w:t>
            </w:r>
          </w:p>
        </w:tc>
        <w:tc>
          <w:tcPr>
            <w:tcW w:w="155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108 </w:t>
            </w:r>
          </w:p>
        </w:tc>
      </w:tr>
      <w:tr>
        <w:trPr>
          <w:trHeight w:val="397" w:hRule="atLeast"/>
        </w:trPr>
        <w:tc>
          <w:tcPr>
            <w:tcW w:w="4106" w:type="dxa"/>
            <w:tcBorders>
              <w:left w:val="single" w:sz="4" w:space="0" w:color="C00000"/>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Suplemento Hab. vistas a las cataratas en Four Points by Marriott (precio puede variar según disponibilidad al momento de reservar)</w:t>
            </w:r>
          </w:p>
        </w:tc>
        <w:tc>
          <w:tcPr>
            <w:tcW w:w="1843"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206 </w:t>
            </w:r>
          </w:p>
        </w:tc>
        <w:tc>
          <w:tcPr>
            <w:tcW w:w="155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   </w:t>
            </w:r>
          </w:p>
        </w:tc>
      </w:tr>
      <w:tr>
        <w:trPr>
          <w:trHeight w:val="397" w:hRule="atLeast"/>
        </w:trPr>
        <w:tc>
          <w:tcPr>
            <w:tcW w:w="4106" w:type="dxa"/>
            <w:tcBorders>
              <w:left w:val="single" w:sz="4" w:space="0" w:color="C00000"/>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Excursión Costa de Beaupré 7 hrs</w:t>
            </w:r>
          </w:p>
        </w:tc>
        <w:tc>
          <w:tcPr>
            <w:tcW w:w="1843"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152 </w:t>
            </w:r>
          </w:p>
        </w:tc>
        <w:tc>
          <w:tcPr>
            <w:tcW w:w="155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130 </w:t>
            </w:r>
          </w:p>
        </w:tc>
      </w:tr>
      <w:tr>
        <w:trPr>
          <w:trHeight w:val="397" w:hRule="atLeast"/>
        </w:trPr>
        <w:tc>
          <w:tcPr>
            <w:tcW w:w="4106" w:type="dxa"/>
            <w:tcBorders>
              <w:left w:val="single" w:sz="4" w:space="0" w:color="C00000"/>
              <w:bottom w:val="single" w:sz="4" w:space="0" w:color="C00000"/>
              <w:right w:val="single" w:sz="4" w:space="0" w:color="C00000"/>
            </w:tcBorders>
            <w:shd w:color="000000" w:fill="FFFFFF" w:val="clear"/>
            <w:vAlign w:val="center"/>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Excursión Safari Fotográfico a las Ballenas: </w:t>
            </w:r>
            <w:r>
              <w:rPr>
                <w:rFonts w:eastAsia="Times New Roman" w:cs="Arial" w:ascii="Arial" w:hAnsi="Arial"/>
                <w:sz w:val="18"/>
                <w:szCs w:val="18"/>
                <w:lang w:eastAsia="es-ES"/>
              </w:rPr>
              <w:t>24 de junio al 9 de septiembre</w:t>
            </w:r>
          </w:p>
        </w:tc>
        <w:tc>
          <w:tcPr>
            <w:tcW w:w="1843"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228 </w:t>
            </w:r>
          </w:p>
        </w:tc>
        <w:tc>
          <w:tcPr>
            <w:tcW w:w="1559"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195 </w:t>
            </w:r>
          </w:p>
        </w:tc>
      </w:tr>
    </w:tbl>
    <w:p>
      <w:pPr>
        <w:pStyle w:val="Normal"/>
        <w:spacing w:lineRule="auto" w:line="240" w:before="0" w:after="0"/>
        <w:jc w:val="both"/>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t xml:space="preserve">  </w:t>
      </w:r>
    </w:p>
    <w:p>
      <w:pPr>
        <w:pStyle w:val="Normal"/>
        <w:spacing w:lineRule="auto" w:line="240" w:before="0" w:after="0"/>
        <w:jc w:val="both"/>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NOCHES ADICIONALES EN USD:</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W w:w="9589"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256"/>
        <w:gridCol w:w="1274"/>
        <w:gridCol w:w="1277"/>
        <w:gridCol w:w="1311"/>
        <w:gridCol w:w="1272"/>
        <w:gridCol w:w="1198"/>
      </w:tblGrid>
      <w:tr>
        <w:trPr>
          <w:trHeight w:val="397" w:hRule="atLeast"/>
        </w:trPr>
        <w:tc>
          <w:tcPr>
            <w:tcW w:w="9588" w:type="dxa"/>
            <w:gridSpan w:val="6"/>
            <w:tcBorders>
              <w:top w:val="single" w:sz="4" w:space="0" w:color="C00000"/>
              <w:left w:val="single" w:sz="4" w:space="0" w:color="C00000"/>
              <w:bottom w:val="single" w:sz="4" w:space="0" w:color="C00000"/>
              <w:right w:val="single" w:sz="4" w:space="0" w:color="C00000"/>
            </w:tcBorders>
            <w:shd w:color="000000" w:fill="262626" w:val="clear"/>
            <w:vAlign w:val="center"/>
          </w:tcPr>
          <w:p>
            <w:pPr>
              <w:pStyle w:val="Normal"/>
              <w:widowControl w:val="false"/>
              <w:spacing w:lineRule="auto" w:line="240" w:before="0" w:after="0"/>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 xml:space="preserve">Noches Pre y Post: hasta 2 noches extras en Toronto y 2 noches extras en Montreal por habitación, por noche, con desayuno. </w:t>
            </w:r>
          </w:p>
        </w:tc>
      </w:tr>
      <w:tr>
        <w:trPr>
          <w:trHeight w:val="397" w:hRule="atLeast"/>
        </w:trPr>
        <w:tc>
          <w:tcPr>
            <w:tcW w:w="3256" w:type="dxa"/>
            <w:tcBorders>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NOCHES ADICIONALES</w:t>
            </w:r>
          </w:p>
        </w:tc>
        <w:tc>
          <w:tcPr>
            <w:tcW w:w="1274"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77"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311"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2"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c>
          <w:tcPr>
            <w:tcW w:w="1198" w:type="dxa"/>
            <w:tcBorders>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HASTA 17 AÑOS</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Toronto Chelsea Hotel 3* superior Standard Room</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234 </w:t>
            </w:r>
          </w:p>
        </w:tc>
        <w:tc>
          <w:tcPr>
            <w:tcW w:w="1277"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293 </w:t>
            </w:r>
          </w:p>
        </w:tc>
        <w:tc>
          <w:tcPr>
            <w:tcW w:w="1311"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364 </w:t>
            </w:r>
          </w:p>
        </w:tc>
        <w:tc>
          <w:tcPr>
            <w:tcW w:w="1272"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437 </w:t>
            </w:r>
          </w:p>
        </w:tc>
        <w:tc>
          <w:tcPr>
            <w:tcW w:w="1198"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43 </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Fairmont Queen Elizabeth 4* Hab. Fairmont</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493 </w:t>
            </w:r>
          </w:p>
        </w:tc>
        <w:tc>
          <w:tcPr>
            <w:tcW w:w="1277"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559 </w:t>
            </w:r>
          </w:p>
        </w:tc>
        <w:tc>
          <w:tcPr>
            <w:tcW w:w="1311"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677 </w:t>
            </w:r>
          </w:p>
        </w:tc>
        <w:tc>
          <w:tcPr>
            <w:tcW w:w="1272"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795 </w:t>
            </w:r>
          </w:p>
        </w:tc>
        <w:tc>
          <w:tcPr>
            <w:tcW w:w="1198"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65 </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Montreal Hotel Faubourg 3* Mayo a octubre 2024</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244 </w:t>
            </w:r>
          </w:p>
        </w:tc>
        <w:tc>
          <w:tcPr>
            <w:tcW w:w="1277"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244 </w:t>
            </w:r>
          </w:p>
        </w:tc>
        <w:tc>
          <w:tcPr>
            <w:tcW w:w="1311"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276 </w:t>
            </w:r>
          </w:p>
        </w:tc>
        <w:tc>
          <w:tcPr>
            <w:tcW w:w="1272"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310 </w:t>
            </w:r>
          </w:p>
        </w:tc>
        <w:tc>
          <w:tcPr>
            <w:tcW w:w="1198"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33 </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Montreal Hotel Faubourg 3* Formula 1 (salida 3 Junio)</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592 </w:t>
            </w:r>
          </w:p>
        </w:tc>
        <w:tc>
          <w:tcPr>
            <w:tcW w:w="1277"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592 </w:t>
            </w:r>
          </w:p>
        </w:tc>
        <w:tc>
          <w:tcPr>
            <w:tcW w:w="1311"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624 </w:t>
            </w:r>
          </w:p>
        </w:tc>
        <w:tc>
          <w:tcPr>
            <w:tcW w:w="1272"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658 </w:t>
            </w:r>
          </w:p>
        </w:tc>
        <w:tc>
          <w:tcPr>
            <w:tcW w:w="1198"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33 </w:t>
            </w:r>
          </w:p>
        </w:tc>
      </w:tr>
      <w:tr>
        <w:trPr>
          <w:trHeight w:val="397" w:hRule="atLeast"/>
        </w:trPr>
        <w:tc>
          <w:tcPr>
            <w:tcW w:w="3256" w:type="dxa"/>
            <w:tcBorders>
              <w:left w:val="single" w:sz="4" w:space="0" w:color="C00000"/>
              <w:bottom w:val="single" w:sz="4" w:space="0" w:color="C00000"/>
              <w:right w:val="single" w:sz="4" w:space="0" w:color="C00000"/>
            </w:tcBorders>
            <w:shd w:color="000000" w:fill="FFFFFF" w:val="clear"/>
            <w:vAlign w:val="bottom"/>
          </w:tcPr>
          <w:p>
            <w:pPr>
              <w:pStyle w:val="Normal"/>
              <w:widowControl w:val="false"/>
              <w:spacing w:lineRule="auto" w:line="240" w:before="0" w:after="0"/>
              <w:rPr>
                <w:rFonts w:ascii="Arial" w:hAnsi="Arial" w:eastAsia="Times New Roman" w:cs="Arial"/>
                <w:b/>
                <w:b/>
                <w:bCs/>
                <w:sz w:val="18"/>
                <w:szCs w:val="18"/>
                <w:lang w:eastAsia="es-ES"/>
              </w:rPr>
            </w:pPr>
            <w:r>
              <w:rPr>
                <w:rFonts w:eastAsia="Times New Roman" w:cs="Arial" w:ascii="Arial" w:hAnsi="Arial"/>
                <w:b/>
                <w:bCs/>
                <w:sz w:val="18"/>
                <w:szCs w:val="18"/>
                <w:lang w:eastAsia="es-ES"/>
              </w:rPr>
              <w:t>Montreal Faubourg Salida 22 o 29 Jul (Festival Osheaga)</w:t>
            </w:r>
          </w:p>
        </w:tc>
        <w:tc>
          <w:tcPr>
            <w:tcW w:w="1274"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520 </w:t>
            </w:r>
          </w:p>
        </w:tc>
        <w:tc>
          <w:tcPr>
            <w:tcW w:w="1277"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520 </w:t>
            </w:r>
          </w:p>
        </w:tc>
        <w:tc>
          <w:tcPr>
            <w:tcW w:w="1311"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553 </w:t>
            </w:r>
          </w:p>
        </w:tc>
        <w:tc>
          <w:tcPr>
            <w:tcW w:w="1272"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585 </w:t>
            </w:r>
          </w:p>
        </w:tc>
        <w:tc>
          <w:tcPr>
            <w:tcW w:w="1198" w:type="dxa"/>
            <w:tcBorders>
              <w:bottom w:val="single" w:sz="4" w:space="0" w:color="C00000"/>
              <w:right w:val="single" w:sz="4" w:space="0" w:color="C00000"/>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33 </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La vigencia de su pasaporte deberá tener mínimo seis meses a partir de la fecha del inicio de su viaje.</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Es necesaria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val="es-ES_tradnl" w:eastAsia="es-ES"/>
        </w:rPr>
      </w:pPr>
      <w:r>
        <w:rPr>
          <w:rFonts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val="es-ES_tradnl" w:eastAsia="es-ES"/>
        </w:rPr>
        <w:t xml:space="preserve">Los horarios de registro de entrada (check-in) y salida (check-out) de los hoteles están sujetos a las formalidades de cada hotel, pudiendo tener los siguientes horarios: check-in 14:00hrs y check-out 12:00hrs En caso de que la llegada fuese antes del horario establecido, existe la posibilidad de que la habitación no sea facilitada hasta el horario correspondiente. </w:t>
      </w:r>
      <w:r>
        <w:rPr>
          <w:rFonts w:cs="Arial" w:ascii="Arial" w:hAnsi="Arial"/>
          <w:color w:val="000000" w:themeColor="text1"/>
          <w:sz w:val="18"/>
          <w:szCs w:val="18"/>
        </w:rPr>
        <w:t>Si su avión regresa por la tarde, el hotel podrá mantener sus pertenencias.</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val="es-ES_tradnl" w:eastAsia="es-ES"/>
        </w:rPr>
      </w:pPr>
      <w:r>
        <w:rPr>
          <w:rFonts w:cs="Arial" w:ascii="Arial" w:hAnsi="Arial"/>
          <w:sz w:val="18"/>
          <w:szCs w:val="18"/>
        </w:rPr>
        <w:t>Todos los hoteles en Canadá exigen al pasajero una tarjeta de crédito o un depósito en efectivo como garantía para poder facilitar los servicios de llamadas telefónicas, minibar, lavandería, cargos por servicio de habitación, etc.</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Tourmundial. </w:t>
      </w:r>
    </w:p>
    <w:p>
      <w:pPr>
        <w:pStyle w:val="ListParagraph"/>
        <w:numPr>
          <w:ilvl w:val="0"/>
          <w:numId w:val="2"/>
        </w:numPr>
        <w:spacing w:lineRule="auto" w:line="240" w:before="0" w:after="0"/>
        <w:contextualSpacing/>
        <w:jc w:val="both"/>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color w:val="000000"/>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w:pPr>
        <w:pStyle w:val="ListParagraph"/>
        <w:numPr>
          <w:ilvl w:val="0"/>
          <w:numId w:val="5"/>
        </w:numPr>
        <w:spacing w:lineRule="auto" w:line="240" w:before="0" w:after="0"/>
        <w:contextualSpacing/>
        <w:jc w:val="both"/>
        <w:rPr>
          <w:rFonts w:ascii="Arial" w:hAnsi="Arial" w:cs="Arial"/>
          <w:sz w:val="18"/>
          <w:szCs w:val="18"/>
          <w:lang w:eastAsia="es-ES"/>
        </w:rPr>
      </w:pPr>
      <w:r>
        <w:rPr>
          <w:rFonts w:cs="Arial" w:ascii="Arial" w:hAnsi="Arial"/>
          <w:sz w:val="18"/>
          <w:szCs w:val="18"/>
          <w:lang w:eastAsia="es-ES"/>
        </w:rPr>
        <w:t>Se proporcionará un número de urgencias del proveedor de servicio, el cual se puede marcar sin moneda desde un teléfono público. Si marcan desde un celular, no nos hacemos responsables de los cargos.</w:t>
      </w:r>
    </w:p>
    <w:p>
      <w:pPr>
        <w:pStyle w:val="ListParagraph"/>
        <w:numPr>
          <w:ilvl w:val="0"/>
          <w:numId w:val="5"/>
        </w:numPr>
        <w:spacing w:lineRule="auto" w:line="240" w:before="0" w:after="0"/>
        <w:contextualSpacing/>
        <w:jc w:val="both"/>
        <w:rPr>
          <w:rFonts w:ascii="Arial" w:hAnsi="Arial" w:cs="Arial"/>
          <w:sz w:val="18"/>
          <w:szCs w:val="18"/>
          <w:lang w:eastAsia="es-ES"/>
        </w:rPr>
      </w:pPr>
      <w:r>
        <w:rPr>
          <w:rFonts w:cs="Arial" w:ascii="Arial" w:hAnsi="Arial"/>
          <w:sz w:val="18"/>
          <w:szCs w:val="18"/>
          <w:lang w:eastAsia="es-ES"/>
        </w:rPr>
        <w:t>Se estará esperando a los pasajeros a partir de 30 minutos después del horario de llegada original del vuelo y esperará 1:30 horas a partir de este momento. Después de este lapso el pasajero se considerará No show y lamentablemente pierde el derecho al traslado.</w:t>
      </w:r>
      <w:r>
        <w:rPr>
          <w:rStyle w:val="Normaltextrun"/>
          <w:rFonts w:cs="Arial" w:ascii="Arial" w:hAnsi="Arial"/>
          <w:color w:val="000000"/>
          <w:sz w:val="18"/>
          <w:szCs w:val="18"/>
          <w:shd w:fill="FFFFFF" w:val="clear"/>
        </w:rPr>
        <w:t xml:space="preserve"> En caso de no encontrar al personal en el aeropuerto los pasajeros deberán tomar un taxi a su cargo (sin reembolso) hasta el hotel y registrarse en el hotel.</w:t>
      </w:r>
    </w:p>
    <w:p>
      <w:pPr>
        <w:pStyle w:val="ListParagraph"/>
        <w:numPr>
          <w:ilvl w:val="0"/>
          <w:numId w:val="5"/>
        </w:numPr>
        <w:spacing w:lineRule="auto" w:line="240" w:before="0" w:after="0"/>
        <w:contextualSpacing/>
        <w:jc w:val="both"/>
        <w:rPr>
          <w:rFonts w:ascii="Arial" w:hAnsi="Arial" w:cs="Arial"/>
          <w:sz w:val="18"/>
          <w:szCs w:val="18"/>
          <w:lang w:eastAsia="es-ES"/>
        </w:rPr>
      </w:pPr>
      <w:r>
        <w:rPr>
          <w:rFonts w:cs="Arial" w:ascii="Arial" w:hAnsi="Arial"/>
          <w:sz w:val="18"/>
          <w:szCs w:val="18"/>
          <w:lang w:eastAsia="es-ES"/>
        </w:rPr>
        <w:t xml:space="preserve">En caso de que el vuelo llegue adelantado o atrasado o cualquier cambio, se hará lo posible por dar el traslado con la mayor celeridad posible, se debe mencionar nombre completo de los pasajeros y número de vuelo. El pasajero debe llamar al número de urgencias en caso no encontrar al personal esperando, caso contrario no tendrán derecho a reembolso. </w:t>
      </w:r>
    </w:p>
    <w:p>
      <w:pPr>
        <w:pStyle w:val="NoSpacing"/>
        <w:widowControl w:val="false"/>
        <w:numPr>
          <w:ilvl w:val="0"/>
          <w:numId w:val="5"/>
        </w:numPr>
        <w:jc w:val="both"/>
        <w:textAlignment w:val="baseline"/>
        <w:rPr>
          <w:rFonts w:ascii="Arial" w:hAnsi="Arial" w:cs="Arial"/>
          <w:sz w:val="18"/>
          <w:szCs w:val="18"/>
          <w:lang w:val="es-ES_tradnl" w:eastAsia="es-ES"/>
        </w:rPr>
      </w:pPr>
      <w:r>
        <w:rPr>
          <w:rFonts w:cs="Arial" w:ascii="Arial" w:hAnsi="Arial"/>
          <w:sz w:val="18"/>
          <w:szCs w:val="18"/>
        </w:rPr>
        <w:t xml:space="preserve">En la mayoria de los circuitos, se incluye el manejo de una maleta por pasajero. Cuando no se incluye manejo de equipaje, el cargo por maleta es de aprox $5 CAD por pieza, por movimiento. </w:t>
      </w:r>
    </w:p>
    <w:p>
      <w:pPr>
        <w:pStyle w:val="NoSpacing"/>
        <w:widowControl w:val="false"/>
        <w:numPr>
          <w:ilvl w:val="0"/>
          <w:numId w:val="5"/>
        </w:numPr>
        <w:jc w:val="both"/>
        <w:textAlignment w:val="baseline"/>
        <w:rPr>
          <w:rFonts w:ascii="Arial" w:hAnsi="Arial" w:cs="Arial"/>
          <w:sz w:val="18"/>
          <w:szCs w:val="18"/>
          <w:lang w:val="es-ES_tradnl" w:eastAsia="es-ES"/>
        </w:rPr>
      </w:pPr>
      <w:r>
        <w:rPr>
          <w:rFonts w:cs="Arial" w:ascii="Arial" w:hAnsi="Arial"/>
          <w:sz w:val="18"/>
          <w:szCs w:val="18"/>
        </w:rPr>
        <w:t>En caso de que el cliente desista de realizar alguno de los servicios solicitados o contratados, no tendrá derecho a la devolución de las cantidades que hubiera abonado.</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both"/>
        <w:textAlignment w:val="baseline"/>
        <w:rPr>
          <w:rFonts w:ascii="Arial" w:hAnsi="Arial" w:cs="Arial"/>
          <w:color w:val="FF0000"/>
          <w:sz w:val="14"/>
          <w:szCs w:val="18"/>
          <w:lang w:val="es-ES"/>
        </w:rPr>
      </w:pPr>
      <w:r>
        <w:rPr>
          <w:rFonts w:cs="Arial" w:ascii="Arial" w:hAnsi="Arial"/>
          <w:color w:val="FF0000"/>
          <w:sz w:val="14"/>
          <w:szCs w:val="18"/>
          <w:lang w:val="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VIGENCIA DEL 02 DE OCTUBRE AL 14 DE OCTUBRE 2024</w:t>
      </w:r>
    </w:p>
    <w:p>
      <w:pPr>
        <w:pStyle w:val="NoSpacing"/>
        <w:widowControl w:val="false"/>
        <w:jc w:val="center"/>
        <w:textAlignment w:val="baseline"/>
        <w:rPr>
          <w:rFonts w:ascii="Arial" w:hAnsi="Arial" w:cs="Arial"/>
          <w:b/>
          <w:b/>
          <w:color w:val="FFFFFF" w:themeColor="background1"/>
          <w:sz w:val="22"/>
          <w:szCs w:val="18"/>
          <w:u w:val="single"/>
          <w:lang w:val="es-ES_tradnl" w:eastAsia="es-ES"/>
        </w:rPr>
      </w:pPr>
      <w:r>
        <w:rPr>
          <w:rFonts w:cs="Arial" w:ascii="Arial" w:hAnsi="Arial"/>
          <w:b/>
          <w:color w:val="FFFFFF" w:themeColor="background1"/>
          <w:sz w:val="22"/>
          <w:szCs w:val="18"/>
          <w:highlight w:val="blue"/>
          <w:u w:val="single"/>
          <w:lang w:val="es-ES_tradnl" w:eastAsia="es-ES"/>
        </w:rPr>
        <w:t>Se requiere de prepago</w:t>
      </w:r>
    </w:p>
    <w:tbl>
      <w:tblPr>
        <w:tblStyle w:val="Sombreadomedio1-nfasis6"/>
        <w:tblW w:w="863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637"/>
      </w:tblGrid>
      <w:tr>
        <w:trPr>
          <w:trHeight w:val="151" w:hRule="atLeast"/>
          <w:cnfStyle w:val="100000000000" w:firstRow="1" w:lastRow="0" w:firstColumn="0" w:lastColumn="0" w:oddVBand="0" w:evenVBand="0" w:oddHBand="0" w:evenHBand="0" w:firstRowFirstColumn="0" w:firstRowLastColumn="0" w:lastRowFirstColumn="0" w:lastRowLastColumn="0"/>
        </w:trPr>
        <w:tc>
          <w:tcPr>
            <w:tcW w:w="863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 Y/O CAMBIOS</w:t>
            </w:r>
          </w:p>
        </w:tc>
      </w:tr>
      <w:tr>
        <w:trPr>
          <w:trHeight w:val="46" w:hRule="atLeast"/>
          <w:cnfStyle w:val="000000100000" w:firstRow="0" w:lastRow="0" w:firstColumn="0" w:lastColumn="0" w:oddVBand="0" w:evenVBand="0" w:oddHBand="1" w:evenHBand="0" w:firstRowFirstColumn="0" w:firstRowLastColumn="0" w:lastRowFirstColumn="0" w:lastRowLastColumn="0"/>
        </w:trPr>
        <w:tc>
          <w:tcPr>
            <w:tcW w:w="863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n-US" w:bidi="ar-SA"/>
              </w:rPr>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Antes de 36 días de la salida del pasajero: sin cargo. </w:t>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35 y 26 días antes de la fecha de salida del pasajero: 30% del total de la reservación por pasajero.</w:t>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25 y 19 días antes de la fecha de salida del pasajero: 60% del total de la reservación por pasajero.</w:t>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18 días antes de la llegada: 100% del total de la reservación por pasajero.</w:t>
            </w:r>
          </w:p>
          <w:p>
            <w:pPr>
              <w:pStyle w:val="NoSpacing"/>
              <w:widowControl w:val="false"/>
              <w:numPr>
                <w:ilvl w:val="0"/>
                <w:numId w:val="3"/>
              </w:numPr>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No Show: 100% del total de la reservación por pasajero</w:t>
            </w:r>
          </w:p>
          <w:p>
            <w:pPr>
              <w:pStyle w:val="NoSpacing"/>
              <w:widowControl w:val="false"/>
              <w:numPr>
                <w:ilvl w:val="0"/>
                <w:numId w:val="3"/>
              </w:numPr>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Consulte políticas sobre cambios.</w:t>
            </w:r>
          </w:p>
        </w:tc>
      </w:tr>
    </w:tbl>
    <w:p>
      <w:pPr>
        <w:pStyle w:val="NoSpacing"/>
        <w:widowControl w:val="false"/>
        <w:jc w:val="center"/>
        <w:textAlignment w:val="baseline"/>
        <w:rPr>
          <w:rFonts w:ascii="Arial" w:hAnsi="Arial" w:cs="Arial"/>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Proxima Nova Alt Lt">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19050" distL="0" distR="28575" simplePos="0" locked="0" layoutInCell="0" allowOverlap="1" relativeHeight="7" wp14:anchorId="5AE26935">
              <wp:simplePos x="0" y="0"/>
              <wp:positionH relativeFrom="column">
                <wp:posOffset>-1257300</wp:posOffset>
              </wp:positionH>
              <wp:positionV relativeFrom="paragraph">
                <wp:posOffset>-612140</wp:posOffset>
              </wp:positionV>
              <wp:extent cx="8353425" cy="1047750"/>
              <wp:effectExtent l="13335" t="12700" r="12065" b="12700"/>
              <wp:wrapNone/>
              <wp:docPr id="2" name="3 Rectángulo"/>
              <a:graphic xmlns:a="http://schemas.openxmlformats.org/drawingml/2006/main">
                <a:graphicData uri="http://schemas.microsoft.com/office/word/2010/wordprocessingShape">
                  <wps:wsp>
                    <wps:cNvSpPr/>
                    <wps:spPr>
                      <a:xfrm>
                        <a:off x="0" y="0"/>
                        <a:ext cx="8353440" cy="1047600"/>
                      </a:xfrm>
                      <a:prstGeom prst="rect">
                        <a:avLst/>
                      </a:prstGeom>
                      <a:solidFill>
                        <a:schemeClr val="bg1">
                          <a:lumMod val="50000"/>
                          <a:alpha val="47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3 Rectángulo" path="m0,0l-2147483645,0l-2147483645,-2147483646l0,-2147483646xe" fillcolor="gray" stroked="t" o:allowincell="f" style="position:absolute;margin-left:-99pt;margin-top:-48.2pt;width:657.7pt;height:82.45pt;mso-wrap-style:none;v-text-anchor:middle" wp14:anchorId="5AE26935">
              <v:fill o:detectmouseclick="t" type="solid" color2="#7f7f7f" opacity="0.46"/>
              <v:stroke color="#bfbfbf" weight="25560" joinstyle="round" endcap="flat"/>
              <w10:wrap type="none"/>
            </v:rect>
          </w:pict>
        </mc:Fallback>
      </mc:AlternateContent>
      <w:drawing>
        <wp:anchor behindDoc="1" distT="0" distB="0" distL="0" distR="114300" simplePos="0" locked="0" layoutInCell="0" allowOverlap="1" relativeHeight="14">
          <wp:simplePos x="0" y="0"/>
          <wp:positionH relativeFrom="margin">
            <wp:align>left</wp:align>
          </wp:positionH>
          <wp:positionV relativeFrom="paragraph">
            <wp:posOffset>-220980</wp:posOffset>
          </wp:positionV>
          <wp:extent cx="1971675" cy="475615"/>
          <wp:effectExtent l="0" t="0" r="0" b="0"/>
          <wp:wrapSquare wrapText="bothSides"/>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1971675" cy="4756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EnlacedeInternetvisitado">
    <w:name w:val="Enlace de Internet visitado"/>
    <w:basedOn w:val="DefaultParagraphFont"/>
    <w:uiPriority w:val="99"/>
    <w:semiHidden/>
    <w:unhideWhenUsed/>
    <w:rsid w:val="004a1183"/>
    <w:rPr>
      <w:color w:val="800080" w:themeColor="followedHyperlink"/>
      <w:u w:val="single"/>
    </w:rPr>
  </w:style>
  <w:style w:type="character" w:styleId="Textoindependiente2Car" w:customStyle="1">
    <w:name w:val="Texto independiente 2 Car"/>
    <w:basedOn w:val="DefaultParagraphFont"/>
    <w:link w:val="BodyText2"/>
    <w:uiPriority w:val="99"/>
    <w:qFormat/>
    <w:rsid w:val="009a40c4"/>
    <w:rPr>
      <w:rFonts w:ascii="Times New Roman" w:hAnsi="Times New Roman" w:eastAsia="SimSun" w:cs="Times New Roman"/>
      <w:sz w:val="20"/>
      <w:szCs w:val="20"/>
      <w:lang w:val="en-CA" w:eastAsia="en-CA"/>
    </w:rPr>
  </w:style>
  <w:style w:type="character" w:styleId="TextodegloboCar" w:customStyle="1">
    <w:name w:val="Texto de globo Car"/>
    <w:basedOn w:val="DefaultParagraphFont"/>
    <w:link w:val="BalloonText"/>
    <w:uiPriority w:val="99"/>
    <w:semiHidden/>
    <w:qFormat/>
    <w:rsid w:val="009c7f67"/>
    <w:rPr>
      <w:rFonts w:ascii="Tahoma" w:hAnsi="Tahoma" w:cs="Tahoma"/>
      <w:sz w:val="16"/>
      <w:szCs w:val="16"/>
      <w:lang w:val="es-ES"/>
    </w:rPr>
  </w:style>
  <w:style w:type="character" w:styleId="Normaltextrun" w:customStyle="1">
    <w:name w:val="normaltextrun"/>
    <w:basedOn w:val="DefaultParagraphFont"/>
    <w:qFormat/>
    <w:rsid w:val="00440262"/>
    <w:rPr/>
  </w:style>
  <w:style w:type="character" w:styleId="Tabchar" w:customStyle="1">
    <w:name w:val="tabchar"/>
    <w:basedOn w:val="DefaultParagraphFont"/>
    <w:qFormat/>
    <w:rsid w:val="00440262"/>
    <w:rPr/>
  </w:style>
  <w:style w:type="character" w:styleId="Eop" w:customStyle="1">
    <w:name w:val="eop"/>
    <w:basedOn w:val="DefaultParagraphFont"/>
    <w:qFormat/>
    <w:rsid w:val="00440262"/>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623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99"/>
    <w:qFormat/>
    <w:rsid w:val="0046232d"/>
    <w:pPr>
      <w:spacing w:before="0" w:after="200"/>
      <w:ind w:left="720" w:hanging="0"/>
      <w:contextualSpacing/>
    </w:pPr>
    <w:rPr/>
  </w:style>
  <w:style w:type="paragraph" w:styleId="BodyText2">
    <w:name w:val="Body Text 2"/>
    <w:basedOn w:val="Normal"/>
    <w:link w:val="Textoindependiente2Car"/>
    <w:uiPriority w:val="99"/>
    <w:qFormat/>
    <w:rsid w:val="009a40c4"/>
    <w:pPr>
      <w:spacing w:lineRule="auto" w:line="480" w:before="0" w:after="120"/>
    </w:pPr>
    <w:rPr>
      <w:rFonts w:ascii="Times New Roman" w:hAnsi="Times New Roman" w:eastAsia="SimSun" w:cs="Times New Roman"/>
      <w:sz w:val="20"/>
      <w:szCs w:val="20"/>
      <w:lang w:val="en-CA" w:eastAsia="en-CA"/>
    </w:rPr>
  </w:style>
  <w:style w:type="paragraph" w:styleId="BalloonText">
    <w:name w:val="Balloon Text"/>
    <w:basedOn w:val="Normal"/>
    <w:link w:val="TextodegloboCar"/>
    <w:uiPriority w:val="99"/>
    <w:semiHidden/>
    <w:unhideWhenUsed/>
    <w:qFormat/>
    <w:rsid w:val="009c7f67"/>
    <w:pPr>
      <w:spacing w:lineRule="auto" w:line="240" w:before="0" w:after="0"/>
    </w:pPr>
    <w:rPr>
      <w:rFonts w:ascii="Tahoma" w:hAnsi="Tahoma" w:cs="Tahoma"/>
      <w:sz w:val="16"/>
      <w:szCs w:val="16"/>
    </w:rPr>
  </w:style>
  <w:style w:type="paragraph" w:styleId="Paragraph" w:customStyle="1">
    <w:name w:val="paragraph"/>
    <w:basedOn w:val="Normal"/>
    <w:qFormat/>
    <w:rsid w:val="00440262"/>
    <w:pPr>
      <w:spacing w:lineRule="auto" w:line="240" w:beforeAutospacing="1" w:afterAutospacing="1"/>
    </w:pPr>
    <w:rPr>
      <w:rFonts w:ascii="Times New Roman" w:hAnsi="Times New Roman" w:eastAsia="Times New Roman" w:cs="Times New Roman"/>
      <w:sz w:val="24"/>
      <w:szCs w:val="24"/>
      <w:lang w:eastAsia="es-ES"/>
    </w:rPr>
  </w:style>
  <w:style w:type="paragraph" w:styleId="Default" w:customStyle="1">
    <w:name w:val="Default"/>
    <w:qFormat/>
    <w:rsid w:val="001a5988"/>
    <w:pPr>
      <w:widowControl/>
      <w:bidi w:val="0"/>
      <w:spacing w:lineRule="auto" w:line="240" w:before="0" w:after="0"/>
      <w:jc w:val="left"/>
    </w:pPr>
    <w:rPr>
      <w:rFonts w:ascii="Calibri" w:hAnsi="Calibri" w:cs="Calibri" w:eastAsia="Calibri"/>
      <w:color w:val="000000"/>
      <w:kern w:val="0"/>
      <w:sz w:val="24"/>
      <w:szCs w:val="24"/>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fb32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clara-nfasis6">
    <w:name w:val="Light Grid Accent 6"/>
    <w:basedOn w:val="Tablanormal"/>
    <w:uiPriority w:val="62"/>
    <w:rsid w:val="00fb323a"/>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49322027-CF3B-4D0C-9467-EA6D6CA4E822}">
  <ds:schemaRefs>
    <ds:schemaRef ds:uri="http://schemas.microsoft.com/sharepoint/v3/contenttype/forms"/>
  </ds:schemaRefs>
</ds:datastoreItem>
</file>

<file path=customXml/itemProps3.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4.xml><?xml version="1.0" encoding="utf-8"?>
<ds:datastoreItem xmlns:ds="http://schemas.openxmlformats.org/officeDocument/2006/customXml" ds:itemID="{AE6938E8-46DD-4FAD-986B-AE7E6B469A4F}"/>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6</Pages>
  <Words>3175</Words>
  <Characters>15406</Characters>
  <CharactersWithSpaces>18431</CharactersWithSpaces>
  <Paragraphs>309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2023-09-14T22:31:00Z</dcterms:created>
  <dc:creator>V2784160</dc:creator>
  <dc:description/>
  <dc:language>es-MX</dc:language>
  <cp:lastModifiedBy/>
  <cp:lastPrinted>2023-05-09T02:06:00Z</cp:lastPrinted>
  <dcterms:modified xsi:type="dcterms:W3CDTF">2024-09-06T16:43:10Z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c2a6f89eaf1289d10760fec9cfed75cfbf238b5f4df97194612c40f629556242</vt:lpwstr>
  </property>
  <property fmtid="{D5CDD505-2E9C-101B-9397-08002B2CF9AE}" pid="4" name="MediaServiceImageTags">
    <vt:lpwstr/>
  </property>
</Properties>
</file>