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rFonts w:ascii="Proxima Nova Alt Lt" w:hAnsi="Proxima Nova Alt Lt"/>
          <w:sz w:val="8"/>
          <w:szCs w:val="2"/>
        </w:rPr>
      </w:pPr>
      <w:r>
        <w:rPr/>
      </w:r>
    </w:p>
    <w:tbl>
      <w:tblPr>
        <w:tblStyle w:val="Listamedia1-nfasis6"/>
        <w:tblpPr w:bottomFromText="0" w:horzAnchor="margin" w:leftFromText="141" w:rightFromText="141" w:tblpX="108" w:tblpY="14" w:topFromText="0" w:vertAnchor="text"/>
        <w:tblW w:w="976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768"/>
      </w:tblGrid>
      <w:tr>
        <w:trPr>
          <w:trHeight w:val="435" w:hRule="atLeast"/>
          <w:cnfStyle w:val="100000000000" w:firstRow="1" w:lastRow="0" w:firstColumn="0" w:lastColumn="0" w:oddVBand="0" w:evenVBand="0" w:oddHBand="0" w:evenHBand="0" w:firstRowFirstColumn="0" w:firstRowLastColumn="0" w:lastRowFirstColumn="0" w:lastRowLastColumn="0"/>
        </w:trPr>
        <w:tc>
          <w:tcPr>
            <w:tcW w:w="976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24"/>
                <w:szCs w:val="24"/>
                <w:lang w:eastAsia="es-ES"/>
              </w:rPr>
            </w:pPr>
            <w:r>
              <w:rPr>
                <w:rFonts w:eastAsia="Times New Roman" w:cs="Arial" w:ascii="Arial" w:hAnsi="Arial"/>
                <w:b/>
                <w:bCs/>
                <w:color w:val="EF782D"/>
                <w:kern w:val="0"/>
                <w:sz w:val="40"/>
                <w:szCs w:val="24"/>
                <w:lang w:eastAsia="es-ES" w:bidi="ar-SA"/>
              </w:rPr>
              <w:t>DE LA SELVA A LOS GLACIARES</w:t>
            </w:r>
          </w:p>
        </w:tc>
      </w:tr>
    </w:tbl>
    <w:p>
      <w:pPr>
        <w:pStyle w:val="Normal"/>
        <w:spacing w:lineRule="auto" w:line="240" w:before="0" w:after="0"/>
        <w:jc w:val="both"/>
        <w:rPr>
          <w:rFonts w:ascii="Arial" w:hAnsi="Arial" w:eastAsia="Times New Roman" w:cs="Arial"/>
          <w:color w:val="000000"/>
          <w:sz w:val="8"/>
          <w:szCs w:val="20"/>
          <w:lang w:eastAsia="es-ES"/>
        </w:rPr>
      </w:pPr>
      <w:r>
        <w:rPr>
          <w:rFonts w:eastAsia="Times New Roman" w:cs="Arial" w:ascii="Arial" w:hAnsi="Arial"/>
          <w:color w:val="000000"/>
          <w:sz w:val="8"/>
          <w:szCs w:val="20"/>
          <w:lang w:eastAsia="es-ES"/>
        </w:rPr>
      </w:r>
    </w:p>
    <w:tbl>
      <w:tblPr>
        <w:tblW w:w="9916" w:type="dxa"/>
        <w:jc w:val="left"/>
        <w:tblInd w:w="-43" w:type="dxa"/>
        <w:tblLayout w:type="fixed"/>
        <w:tblCellMar>
          <w:top w:w="0" w:type="dxa"/>
          <w:left w:w="70" w:type="dxa"/>
          <w:bottom w:w="0" w:type="dxa"/>
          <w:right w:w="70" w:type="dxa"/>
        </w:tblCellMar>
        <w:tblLook w:firstRow="1" w:noVBand="1" w:lastRow="0" w:firstColumn="1" w:lastColumn="0" w:noHBand="0" w:val="04a0"/>
      </w:tblPr>
      <w:tblGrid>
        <w:gridCol w:w="1470"/>
        <w:gridCol w:w="8445"/>
      </w:tblGrid>
      <w:tr>
        <w:trPr>
          <w:trHeight w:val="342" w:hRule="atLeast"/>
        </w:trPr>
        <w:tc>
          <w:tcPr>
            <w:tcW w:w="1470" w:type="dxa"/>
            <w:tcBorders>
              <w:top w:val="single" w:sz="4" w:space="0" w:color="C65911"/>
              <w:left w:val="single" w:sz="4" w:space="0" w:color="C65911"/>
            </w:tcBorders>
            <w:shd w:color="000000" w:fill="FBE0CD" w:val="clear"/>
          </w:tcPr>
          <w:p>
            <w:pPr>
              <w:pStyle w:val="Normal"/>
              <w:widowControl w:val="false"/>
              <w:spacing w:lineRule="auto" w:line="240" w:before="0" w:after="0"/>
              <w:jc w:val="right"/>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445" w:type="dxa"/>
            <w:tcBorders>
              <w:top w:val="single" w:sz="4" w:space="0" w:color="C65911"/>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 xml:space="preserve">Buenos Aires – Iguazú (lado argentino &amp; lado brasileño) – Bariloche – Circuito Chico – El Calafate – Glaciar Perito Moreno – Buenos Aires </w:t>
            </w:r>
          </w:p>
        </w:tc>
      </w:tr>
      <w:tr>
        <w:trPr>
          <w:trHeight w:val="171" w:hRule="atLeast"/>
        </w:trPr>
        <w:tc>
          <w:tcPr>
            <w:tcW w:w="1470" w:type="dxa"/>
            <w:tcBorders>
              <w:left w:val="single" w:sz="4" w:space="0" w:color="C65911"/>
            </w:tcBorders>
            <w:shd w:color="000000" w:fill="FBE0CD" w:val="clear"/>
          </w:tcPr>
          <w:p>
            <w:pPr>
              <w:pStyle w:val="Normal"/>
              <w:widowControl w:val="false"/>
              <w:spacing w:lineRule="auto" w:line="240" w:before="0" w:after="0"/>
              <w:jc w:val="right"/>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8445" w:type="dxa"/>
            <w:tcBorders>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cs="Arial" w:ascii="Arial" w:hAnsi="Arial"/>
                <w:b/>
                <w:bCs/>
                <w:sz w:val="18"/>
                <w:szCs w:val="18"/>
              </w:rPr>
              <w:t xml:space="preserve">Diarias del 08 de enero 2024 al 19 de marzo 2025 </w:t>
            </w:r>
          </w:p>
          <w:p>
            <w:pPr>
              <w:pStyle w:val="Normal"/>
              <w:widowControl w:val="false"/>
              <w:spacing w:lineRule="auto" w:line="240" w:before="0" w:after="0"/>
              <w:rPr>
                <w:rFonts w:ascii="Arial" w:hAnsi="Arial" w:cs="Arial"/>
                <w:b/>
                <w:b/>
                <w:bCs/>
                <w:color w:val="FF0000"/>
                <w:sz w:val="18"/>
                <w:szCs w:val="18"/>
              </w:rPr>
            </w:pPr>
            <w:r>
              <w:rPr>
                <w:rFonts w:cs="Arial" w:ascii="Arial" w:hAnsi="Arial"/>
                <w:b/>
                <w:bCs/>
                <w:color w:val="FF0000"/>
                <w:sz w:val="18"/>
                <w:szCs w:val="18"/>
              </w:rPr>
              <w:t xml:space="preserve">**Opera mínimo con 2 personas viajando juntas. </w:t>
            </w:r>
          </w:p>
          <w:p>
            <w:pPr>
              <w:pStyle w:val="Normal"/>
              <w:widowControl w:val="false"/>
              <w:spacing w:lineRule="auto" w:line="240" w:before="0" w:after="0"/>
              <w:rPr>
                <w:rFonts w:ascii="Arial" w:hAnsi="Arial" w:eastAsia="Times New Roman" w:cs="Arial"/>
                <w:b/>
                <w:b/>
                <w:bCs/>
                <w:color w:val="FF0000"/>
                <w:sz w:val="18"/>
                <w:szCs w:val="18"/>
                <w:lang w:val="es-MX" w:eastAsia="es-MX"/>
              </w:rPr>
            </w:pPr>
            <w:r>
              <w:rPr>
                <w:rFonts w:cs="Arial" w:ascii="Arial" w:hAnsi="Arial"/>
                <w:b/>
                <w:bCs/>
                <w:color w:val="FF0000"/>
                <w:sz w:val="18"/>
                <w:szCs w:val="18"/>
              </w:rPr>
              <w:t>*PVS: Tarifa para Pasajero Viajando Solo, consultar suplementos.</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r>
          </w:p>
        </w:tc>
      </w:tr>
      <w:tr>
        <w:trPr>
          <w:trHeight w:val="171" w:hRule="atLeast"/>
        </w:trPr>
        <w:tc>
          <w:tcPr>
            <w:tcW w:w="1470" w:type="dxa"/>
            <w:tcBorders>
              <w:left w:val="single" w:sz="4" w:space="0" w:color="C65911"/>
            </w:tcBorders>
            <w:shd w:color="000000" w:fill="FBE0CD" w:val="clear"/>
            <w:vAlign w:val="center"/>
          </w:tcPr>
          <w:p>
            <w:pPr>
              <w:pStyle w:val="Normal"/>
              <w:widowControl w:val="false"/>
              <w:spacing w:lineRule="auto" w:line="240" w:before="0" w:after="0"/>
              <w:jc w:val="right"/>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445" w:type="dxa"/>
            <w:tcBorders>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12 días / 11 noches</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r>
          </w:p>
        </w:tc>
      </w:tr>
      <w:tr>
        <w:trPr>
          <w:trHeight w:val="171" w:hRule="atLeast"/>
        </w:trPr>
        <w:tc>
          <w:tcPr>
            <w:tcW w:w="1470" w:type="dxa"/>
            <w:tcBorders>
              <w:left w:val="single" w:sz="4" w:space="0" w:color="C65911"/>
              <w:bottom w:val="single" w:sz="4" w:space="0" w:color="C65911"/>
            </w:tcBorders>
            <w:shd w:color="000000" w:fill="FBE0CD" w:val="clear"/>
            <w:vAlign w:val="center"/>
          </w:tcPr>
          <w:p>
            <w:pPr>
              <w:pStyle w:val="Normal"/>
              <w:widowControl w:val="false"/>
              <w:spacing w:lineRule="auto" w:line="240" w:before="0" w:after="0"/>
              <w:jc w:val="right"/>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445" w:type="dxa"/>
            <w:tcBorders>
              <w:bottom w:val="single" w:sz="4" w:space="0" w:color="C65911"/>
              <w:right w:val="single" w:sz="4" w:space="0" w:color="C65911"/>
            </w:tcBorders>
            <w:shd w:color="000000" w:fill="FBE0CD"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11 desayunos</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187440" cy="176720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4623" r="0" b="9679"/>
                    <a:stretch>
                      <a:fillRect/>
                    </a:stretch>
                  </pic:blipFill>
                  <pic:spPr bwMode="auto">
                    <a:xfrm>
                      <a:off x="0" y="0"/>
                      <a:ext cx="6187440" cy="1767205"/>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w:t>
        <w:tab/>
        <w:t>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Llegada al aeropuerto de Buenos Aires. Recepción y traslado al hotel.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w:t>
        <w:tab/>
        <w:t xml:space="preserve">Buenos Aires </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 xml:space="preserve"> </w:t>
      </w:r>
      <w:r>
        <w:rPr>
          <w:rFonts w:eastAsia="Times New Roman" w:cs="Arial" w:ascii="Arial" w:hAnsi="Arial"/>
          <w:sz w:val="18"/>
          <w:szCs w:val="18"/>
          <w:lang w:val="es-ES" w:eastAsia="es-ES"/>
        </w:rPr>
        <w:t>en el Hotel.Descubra la Ciudad Autónoma de Buenos Aires comenzando por la Avenida 9 de Julio, el Teatro Lirico más importante de la Argentina Teatro Colon, Obelisco. Nos desviaremos por la Ave. De Mayo hasta el edificio del Congreso Nacional que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al norte conoceremos Puerto Madero, Retiro y la zona residencial de Palermo para finalizar con los elegantes cafés y restaurantes del barrio de la Recoleta, donde se encuentra uno de los más famosos cementerios del mundo.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3</w:t>
        <w:tab/>
        <w:t>Buenos Aires</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Día libre para actividades personales. Alojamiento.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w:t>
        <w:tab/>
        <w:t>Buenos Aires – Iguazú (lado brasileño)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i/>
          <w:sz w:val="18"/>
          <w:szCs w:val="18"/>
          <w:lang w:val="es-ES_tradnl" w:eastAsia="es-ES"/>
        </w:rPr>
        <w:t>.</w:t>
      </w:r>
      <w:r>
        <w:rPr>
          <w:rFonts w:eastAsia="Times New Roman" w:cs="Arial" w:ascii="Arial" w:hAnsi="Arial"/>
          <w:i/>
          <w:sz w:val="18"/>
          <w:szCs w:val="18"/>
          <w:lang w:val="es-ES_tradnl" w:eastAsia="es-ES"/>
        </w:rPr>
        <w:t xml:space="preserve"> </w:t>
      </w:r>
      <w:r>
        <w:rPr>
          <w:rFonts w:eastAsia="Times New Roman" w:cs="Arial" w:ascii="Arial" w:hAnsi="Arial"/>
          <w:sz w:val="18"/>
          <w:szCs w:val="18"/>
          <w:lang w:val="es-ES_tradnl" w:eastAsia="es-ES"/>
        </w:rPr>
        <w:t>A la hora acordada traslado al aeropuerto para tomar vuelo a Iguazú (No incluido), Recepción y traslado al hotel. Excursión a las Cataratas Brasil con entrada al Parque incluida: El Parque Nacional do Iguazú (lado brasileño) posee una extensión de 185.000 hectáreas. Al arribo al Centro del Visitante, se ingresa por el Portal de Acceso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Alojamiento.</w:t>
      </w:r>
    </w:p>
    <w:p>
      <w:pPr>
        <w:pStyle w:val="Normal"/>
        <w:spacing w:lineRule="auto" w:line="240" w:before="0" w:after="0"/>
        <w:jc w:val="both"/>
        <w:rPr>
          <w:rFonts w:ascii="Arial" w:hAnsi="Arial" w:eastAsia="Times New Roman" w:cs="Arial"/>
          <w:i/>
          <w:i/>
          <w:iCs/>
          <w:color w:val="7F7F7F" w:themeColor="text1" w:themeTint="80"/>
          <w:sz w:val="18"/>
          <w:szCs w:val="18"/>
          <w:lang w:val="es-ES_tradnl" w:eastAsia="es-ES"/>
        </w:rPr>
      </w:pPr>
      <w:r>
        <w:rPr>
          <w:rFonts w:eastAsia="Times New Roman" w:cs="Arial" w:ascii="Arial" w:hAnsi="Arial"/>
          <w:i/>
          <w:iCs/>
          <w:color w:val="7F7F7F" w:themeColor="text1" w:themeTint="80"/>
          <w:sz w:val="18"/>
          <w:szCs w:val="18"/>
          <w:lang w:val="es-ES_tradnl" w:eastAsia="es-ES"/>
        </w:rPr>
      </w:r>
    </w:p>
    <w:p>
      <w:pPr>
        <w:pStyle w:val="NoSpacing"/>
        <w:widowControl w:val="false"/>
        <w:jc w:val="both"/>
        <w:textAlignment w:val="baseline"/>
        <w:rPr>
          <w:rFonts w:ascii="Arial" w:hAnsi="Arial" w:cs="Arial"/>
          <w:i/>
          <w:i/>
          <w:iCs/>
          <w:color w:val="7F7F7F" w:themeColor="text1" w:themeTint="80"/>
          <w:sz w:val="18"/>
          <w:szCs w:val="18"/>
          <w:lang w:val="es-ES" w:eastAsia="es-ES"/>
        </w:rPr>
      </w:pPr>
      <w:bookmarkStart w:id="0" w:name="_Hlk155347875"/>
      <w:r>
        <w:rPr>
          <w:rFonts w:cs="Arial" w:ascii="Arial" w:hAnsi="Arial"/>
          <w:i/>
          <w:iCs/>
          <w:color w:val="7F7F7F" w:themeColor="text1" w:themeShade="ff" w:themeTint="80"/>
          <w:sz w:val="18"/>
          <w:szCs w:val="18"/>
          <w:lang w:val="es-ES" w:eastAsia="es-ES"/>
        </w:rPr>
        <w:t xml:space="preserve">Importante: es primordial que los pasajeros que realicen las cataratas de lado brasileño el día de su llegada, el vuelo debe llegar antes de las 10:30hrs para poder realizar el recorrido y en caso de realizar las cataratas de lado brasileño el día de su salida al aeropuerto, el vuelo debe partir de las 18:00 hrs en adelante. </w:t>
      </w:r>
    </w:p>
    <w:p>
      <w:pPr>
        <w:pStyle w:val="NoSpacing"/>
        <w:widowControl w:val="false"/>
        <w:jc w:val="both"/>
        <w:textAlignment w:val="baseline"/>
        <w:rPr>
          <w:rFonts w:ascii="Arial" w:hAnsi="Arial" w:cs="Arial"/>
          <w:i/>
          <w:i/>
          <w:iCs/>
          <w:color w:val="7F7F7F" w:themeColor="text1" w:themeTint="80"/>
          <w:sz w:val="12"/>
          <w:szCs w:val="12"/>
          <w:lang w:val="es-ES_tradnl" w:eastAsia="es-ES"/>
        </w:rPr>
      </w:pPr>
      <w:r>
        <w:rPr>
          <w:rFonts w:cs="Arial" w:ascii="Arial" w:hAnsi="Arial"/>
          <w:i/>
          <w:iCs/>
          <w:color w:val="7F7F7F" w:themeColor="text1" w:themeTint="80"/>
          <w:sz w:val="18"/>
          <w:szCs w:val="18"/>
          <w:lang w:val="es-ES_tradnl" w:eastAsia="es-ES"/>
        </w:rPr>
        <w:t xml:space="preserve"> </w:t>
      </w:r>
    </w:p>
    <w:p>
      <w:pPr>
        <w:pStyle w:val="NoSpacing"/>
        <w:widowControl w:val="false"/>
        <w:jc w:val="both"/>
        <w:textAlignment w:val="baseline"/>
        <w:rPr>
          <w:rFonts w:ascii="Arial" w:hAnsi="Arial" w:cs="Arial"/>
          <w:i/>
          <w:i/>
          <w:iCs/>
          <w:color w:val="7F7F7F" w:themeColor="text1" w:themeTint="80"/>
          <w:sz w:val="18"/>
          <w:szCs w:val="18"/>
          <w:shd w:fill="FFFFFF" w:val="clear"/>
        </w:rPr>
      </w:pPr>
      <w:r>
        <w:rPr>
          <w:rFonts w:cs="Arial" w:ascii="Arial" w:hAnsi="Arial"/>
          <w:i/>
          <w:iCs/>
          <w:color w:val="7F7F7F" w:themeColor="text1" w:themeTint="80"/>
          <w:sz w:val="18"/>
          <w:szCs w:val="18"/>
          <w:lang w:val="es-ES_tradnl" w:eastAsia="es-ES"/>
        </w:rPr>
        <w:t xml:space="preserve">Nota: Para los traslados con vuelos domésticos desde Buenos Aires, deben salir del </w:t>
      </w:r>
      <w:r>
        <w:rPr>
          <w:rFonts w:cs="Arial" w:ascii="Arial" w:hAnsi="Arial"/>
          <w:i/>
          <w:iCs/>
          <w:color w:val="7F7F7F" w:themeColor="text1" w:themeTint="80"/>
          <w:sz w:val="18"/>
          <w:szCs w:val="18"/>
        </w:rPr>
        <w:t>Aeroparque Jorge Newbery</w:t>
      </w:r>
      <w:r>
        <w:rPr>
          <w:rFonts w:cs="Arial" w:ascii="Arial" w:hAnsi="Arial"/>
          <w:i/>
          <w:iCs/>
          <w:color w:val="7F7F7F" w:themeColor="text1" w:themeTint="80"/>
          <w:sz w:val="18"/>
          <w:szCs w:val="18"/>
          <w:shd w:fill="FFFFFF" w:val="clear"/>
        </w:rPr>
        <w:t xml:space="preserve"> (AEP), en caso de ser desde el Aeropuerto Internacional de Ezeiza (EZE) se cobrará un suplemento.  Considerar que el Aeropuerto Internacional de Ezeiza (EZE) se encuentra a 45 min de la ciudad, por lo que no se recomienda tomar vuelos con salidas antes de las 6:00 hrs. </w:t>
      </w:r>
      <w:bookmarkEnd w:id="0"/>
    </w:p>
    <w:p>
      <w:pPr>
        <w:pStyle w:val="NoSpacing"/>
        <w:widowControl w:val="false"/>
        <w:jc w:val="both"/>
        <w:textAlignment w:val="baseline"/>
        <w:rPr>
          <w:rFonts w:ascii="Arial" w:hAnsi="Arial" w:cs="Arial"/>
          <w:i/>
          <w:i/>
          <w:iCs/>
          <w:color w:val="7F7F7F" w:themeColor="text1" w:themeTint="80"/>
          <w:sz w:val="18"/>
          <w:szCs w:val="18"/>
          <w:shd w:fill="FFFFFF" w:val="clear"/>
        </w:rPr>
      </w:pPr>
      <w:r>
        <w:rPr>
          <w:rFonts w:cs="Arial" w:ascii="Arial" w:hAnsi="Arial"/>
          <w:i/>
          <w:iCs/>
          <w:color w:val="7F7F7F" w:themeColor="text1" w:themeTint="80"/>
          <w:sz w:val="18"/>
          <w:szCs w:val="18"/>
          <w:shd w:fill="FFFFFF" w:val="clear"/>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5</w:t>
        <w:tab/>
        <w:t xml:space="preserve"> Iguazú (lado argentino)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acordada salida para excursión Cataratas del Iguazú, lado argentino. Incluye entrada. Desde este </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sz w:val="18"/>
          <w:szCs w:val="18"/>
          <w:lang w:val="es-ES" w:eastAsia="es-ES"/>
        </w:rPr>
        <w:t>Centro del Visitante, tenemos la opción de tomar el servicio de trenes que nos lleva hasta la Estación Cataratas o utilizar el Sendero Peatonal “Sendero Verde”, con lo que llegaríamos a la senda que nos lleva al Paseo Superior e Inferior. Paseo Superior: Recorrido de pasarelas, las que están elevadas. En este circuito, podemos apreciar las caídas de agua desde la parte superior de los saltos, apreciando la magnificencia de los mismos desde una vista panorámica. Paseo Inferior: Caminata por las pasarelas, también elevadas tomando la vista desde los pies de los saltos. Garganta Del Diablo: Partiendo desde la Estación Cataratas, el tren nos llevará hasta la Estación Garganta. Luego, caminata por las pasarelas el espectacular balcón del salto de mayor importancia de las Cataratas, la Garganta del Diablo. Alojamiento.</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6</w:t>
        <w:tab/>
        <w:t xml:space="preserve"> Iguazú – Bariloche</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acordada traslado al aeropuerto para tomar vuelo a Bariloche (no incluido), recepción y traslado al hotel. Alojamiento</w:t>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7</w:t>
        <w:tab/>
        <w:t xml:space="preserve"> Bariloche</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w:t>
      </w:r>
      <w:r>
        <w:rPr>
          <w:rFonts w:eastAsia="Times New Roman" w:cs="Arial" w:ascii="Arial" w:hAnsi="Arial"/>
          <w:sz w:val="18"/>
          <w:szCs w:val="18"/>
          <w:lang w:val="es-ES" w:eastAsia="es-ES"/>
        </w:rPr>
        <w:t xml:space="preserve"> El viaje se inicia desde Bariloche por la Av. Exequiel Bustillo. El camino es sinuoso y bordea el lago Nahuel Huapi. En el km. 8 se encuentra Playa Bonita, apreciándose allí la Isla Huemul luego se llega al pie del Cerro Campanario. Opcional aerosilla desde donde se observan los Lagos Nahuel Huapi y Perito Moreno, la Laguna el Trébol, Penínsulas San Pedro y Llao-Llao, Isla Victoria, los Cerros Otto, López, Goye, Catedral y la Ciudad de Bariloche. Siguiendo viaje se llega a la Península de Llao-Llao, allí el gran Hotel Llao-Llao, la capilla San Eduardo, joyas arquitectónicas de la región, sobre el lago Nahuel Huapi: Puerto Pañuelo. Continuando el trayecto se atravesarán las canchas de golf, puente Angostura sobre el río del mismo nombre que une los Lagos Moreno y Nahuel Huapi y Bahía López al pie del cerro homónimo. Más adelante se llega al Punto Panorámico, que constituye un balcón natural con vista sobre el Lago Moreno y Península Llao-Llao. Luego se atraviesa el puente que cruza el Lago Moreno en su angostura, se bordea la Laguna El Trébol. Alojamiento</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8</w:t>
        <w:tab/>
        <w:t>Bariloche</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Día libre para actividades personales. Alojamiento.</w:t>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Día 9 </w:t>
        <w:tab/>
        <w:t>Bariloche – El Calafate</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acordada traslado al aeropuerto para tomar vuelo a El Calafate (No incluido), Recepción y traslado al hotel. Alojamiento.</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10</w:t>
        <w:tab/>
        <w:t xml:space="preserve"> El Calafate</w:t>
      </w:r>
    </w:p>
    <w:p>
      <w:pPr>
        <w:pStyle w:val="Normal"/>
        <w:spacing w:lineRule="auto" w:line="240" w:before="0" w:after="0"/>
        <w:jc w:val="both"/>
        <w:rPr>
          <w:rFonts w:ascii="Arial" w:hAnsi="Arial" w:eastAsia="Times New Roman" w:cs="Arial"/>
          <w:sz w:val="18"/>
          <w:szCs w:val="18"/>
          <w:lang w:val="es-ES" w:eastAsia="es-ES"/>
        </w:rPr>
      </w:pPr>
      <w:r>
        <w:rPr>
          <w:rFonts w:eastAsia="Times New Roman" w:cs="Arial" w:ascii="Arial" w:hAnsi="Arial"/>
          <w:b/>
          <w:bCs/>
          <w:i/>
          <w:iCs/>
          <w:sz w:val="18"/>
          <w:szCs w:val="18"/>
          <w:u w:val="single"/>
          <w:lang w:val="es-ES" w:eastAsia="es-ES"/>
        </w:rPr>
        <w:t>Desayuno</w:t>
      </w:r>
      <w:r>
        <w:rPr>
          <w:rFonts w:eastAsia="Times New Roman" w:cs="Arial" w:ascii="Arial" w:hAnsi="Arial"/>
          <w:b/>
          <w:bCs/>
          <w:sz w:val="18"/>
          <w:szCs w:val="18"/>
          <w:lang w:val="es-ES" w:eastAsia="es-ES"/>
        </w:rPr>
        <w:t>.</w:t>
      </w:r>
      <w:r>
        <w:rPr>
          <w:rFonts w:eastAsia="Times New Roman" w:cs="Arial" w:ascii="Arial" w:hAnsi="Arial"/>
          <w:sz w:val="18"/>
          <w:szCs w:val="18"/>
          <w:lang w:val="es-ES" w:eastAsia="es-ES"/>
        </w:rPr>
        <w:t xml:space="preserve"> Todo el día Excursión al Glaciar Perito Moreno con entrada al Parque incluida. El glaciar, es de los pocos en el mundo en avance. Ello lo ha convertido en uno de los mayores espectáculos naturales de Sudamérica. Cada cierto tiempo, su frente de 60 m. de altura desprende paredes de hielo grandes como edificios que caen a las aguas del Brazo Rico o del Canal de los Témpanos, para luego salir navegando por el Canal hacia el cuerpo principal del lago. El glaciar, al avanzar, se acerca a la Península Magallanes, en la margen opuesta del lago y punto del sector de pasarelas y miradores. El ciclo lleva de 4 a 6 años y termina por dividir el lago en dos. El Brazo Rico y su embalse se eleva por sobre su nivel en aproximadamente 35 mts Las aguas lentamente horadan un túnel en el frente del glaciar hasta que la presión lo hace desplomar. Alojamiento.</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11</w:t>
        <w:tab/>
        <w:t>El Calafate –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acordada traslado al aeropuerto para toma vuelo con destino a Buenos Aires (no incluido). Recepción y traslado al hotel. Alojamiento.</w:t>
      </w:r>
    </w:p>
    <w:p>
      <w:pPr>
        <w:pStyle w:val="Normal"/>
        <w:spacing w:lineRule="auto" w:line="240" w:before="0" w:after="0"/>
        <w:rPr>
          <w:rFonts w:ascii="Arial" w:hAnsi="Arial" w:eastAsia="Times New Roman" w:cs="Arial"/>
          <w:color w:val="7F7F7F" w:themeColor="text1" w:themeTint="80"/>
          <w:sz w:val="10"/>
          <w:szCs w:val="10"/>
          <w:lang w:val="es-ES_tradnl" w:eastAsia="es-ES"/>
        </w:rPr>
      </w:pPr>
      <w:r>
        <w:rPr>
          <w:rFonts w:eastAsia="Times New Roman" w:cs="Arial" w:ascii="Arial" w:hAnsi="Arial"/>
          <w:color w:val="7F7F7F" w:themeColor="text1" w:themeTint="80"/>
          <w:sz w:val="10"/>
          <w:szCs w:val="10"/>
          <w:lang w:val="es-ES_tradnl" w:eastAsia="es-ES"/>
        </w:rPr>
      </w:r>
    </w:p>
    <w:p>
      <w:pPr>
        <w:pStyle w:val="NoSpacing"/>
        <w:widowControl w:val="false"/>
        <w:jc w:val="both"/>
        <w:textAlignment w:val="baseline"/>
        <w:rPr>
          <w:rFonts w:ascii="Arial" w:hAnsi="Arial" w:cs="Arial"/>
          <w:i/>
          <w:i/>
          <w:iCs/>
          <w:color w:val="7F7F7F" w:themeColor="text1" w:themeTint="80"/>
          <w:sz w:val="18"/>
          <w:szCs w:val="18"/>
          <w:shd w:fill="FFFFFF" w:val="clear"/>
        </w:rPr>
      </w:pPr>
      <w:bookmarkStart w:id="1" w:name="_Hlk155349050"/>
      <w:bookmarkStart w:id="2" w:name="_Hlk155347894"/>
      <w:r>
        <w:rPr>
          <w:rFonts w:cs="Arial" w:ascii="Arial" w:hAnsi="Arial"/>
          <w:i/>
          <w:iCs/>
          <w:color w:val="7F7F7F" w:themeColor="text1" w:themeTint="80"/>
          <w:sz w:val="18"/>
          <w:szCs w:val="18"/>
          <w:lang w:val="es-ES_tradnl" w:eastAsia="es-ES"/>
        </w:rPr>
        <w:t>Nota: Para los traslados con vuelos domésticos a Buenos Aires, deben llegar al Aeroparque</w:t>
      </w:r>
      <w:r>
        <w:rPr>
          <w:rFonts w:cs="Arial" w:ascii="Arial" w:hAnsi="Arial"/>
          <w:i/>
          <w:iCs/>
          <w:color w:val="7F7F7F" w:themeColor="text1" w:themeTint="80"/>
          <w:sz w:val="18"/>
          <w:szCs w:val="18"/>
        </w:rPr>
        <w:t xml:space="preserve"> Jorge Newbery</w:t>
      </w:r>
      <w:r>
        <w:rPr>
          <w:rFonts w:cs="Arial" w:ascii="Arial" w:hAnsi="Arial"/>
          <w:i/>
          <w:iCs/>
          <w:color w:val="7F7F7F" w:themeColor="text1" w:themeTint="80"/>
          <w:sz w:val="18"/>
          <w:szCs w:val="18"/>
          <w:shd w:fill="FFFFFF" w:val="clear"/>
        </w:rPr>
        <w:t> (AEP), en caso de ser al Aeropuerto Internacional de Ezeiza (EZE) se cobrará un suplemento.  Considerar que el Aeropuerto Internacional de Ezeiza (EZE) se encuentra a 45 min de la ciudad, por lo que no se recomienda tomar vuelos con salidas antes de las 6:00 hrs</w:t>
      </w:r>
      <w:bookmarkEnd w:id="2"/>
      <w:r>
        <w:rPr>
          <w:rFonts w:cs="Arial" w:ascii="Arial" w:hAnsi="Arial"/>
          <w:i/>
          <w:iCs/>
          <w:color w:val="7F7F7F" w:themeColor="text1" w:themeTint="80"/>
          <w:sz w:val="18"/>
          <w:szCs w:val="18"/>
          <w:shd w:fill="FFFFFF" w:val="clear"/>
        </w:rPr>
        <w:t xml:space="preserve">. </w:t>
      </w:r>
      <w:bookmarkEnd w:id="1"/>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12</w:t>
        <w:tab/>
        <w:t xml:space="preserve"> Buenos Aires</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b/>
          <w:sz w:val="18"/>
          <w:szCs w:val="18"/>
          <w:lang w:val="es-ES_tradnl" w:eastAsia="es-ES"/>
        </w:rPr>
        <w:t>.</w:t>
      </w:r>
      <w:r>
        <w:rPr>
          <w:rFonts w:eastAsia="Times New Roman" w:cs="Arial" w:ascii="Arial" w:hAnsi="Arial"/>
          <w:sz w:val="18"/>
          <w:szCs w:val="18"/>
          <w:lang w:val="es-ES_tradnl" w:eastAsia="es-ES"/>
        </w:rPr>
        <w:t xml:space="preserve"> A la hora programada traslado al aeropuerto para abordar su vuelo de salida.</w:t>
      </w:r>
    </w:p>
    <w:p>
      <w:pPr>
        <w:pStyle w:val="Normal"/>
        <w:spacing w:lineRule="auto" w:line="240" w:before="0" w:after="0"/>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b/>
          <w:color w:val="E36C0A" w:themeColor="accent6" w:themeShade="bf"/>
          <w:sz w:val="18"/>
          <w:szCs w:val="18"/>
          <w:lang w:val="es-ES_tradnl" w:eastAsia="es-ES"/>
        </w:rPr>
        <w:t xml:space="preserve"> </w:t>
      </w:r>
      <w:r>
        <w:rPr>
          <w:rFonts w:eastAsia="Times New Roman" w:cs="Arial" w:ascii="Arial" w:hAnsi="Arial"/>
          <w:b/>
          <w:color w:val="E36C0A" w:themeColor="accent6" w:themeShade="bf"/>
          <w:sz w:val="18"/>
          <w:szCs w:val="18"/>
          <w:lang w:val="es-ES_tradnl" w:eastAsia="es-ES"/>
        </w:rPr>
        <w:t>FIN DE LOS SERVICIOS</w:t>
      </w:r>
      <w:r>
        <w:rPr>
          <w:rFonts w:eastAsia="Times New Roman" w:cs="Arial" w:ascii="Arial" w:hAnsi="Arial"/>
          <w:color w:val="000000"/>
          <w:sz w:val="18"/>
          <w:szCs w:val="18"/>
          <w:lang w:val="es-ES_tradnl" w:eastAsia="es-ES"/>
        </w:rPr>
        <w:t>.</w:t>
      </w:r>
    </w:p>
    <w:p>
      <w:pPr>
        <w:pStyle w:val="Normal"/>
        <w:spacing w:lineRule="auto" w:line="240" w:before="0" w:after="0"/>
        <w:jc w:val="right"/>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r>
    </w:p>
    <w:p>
      <w:pPr>
        <w:pStyle w:val="Normal"/>
        <w:rPr/>
      </w:pPr>
      <w:r>
        <w:rPr/>
      </w:r>
      <w:r>
        <w:br w:type="page"/>
      </w:r>
    </w:p>
    <w:p>
      <w:pPr>
        <w:pStyle w:val="Normal"/>
        <w:spacing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Style w:val="Tablaconcuadrcula"/>
        <w:tblW w:w="878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5"/>
        <w:gridCol w:w="1871"/>
        <w:gridCol w:w="1842"/>
        <w:gridCol w:w="1843"/>
        <w:gridCol w:w="1843"/>
      </w:tblGrid>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CATEGORÍA</w:t>
            </w:r>
          </w:p>
        </w:tc>
        <w:tc>
          <w:tcPr>
            <w:tcW w:w="187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BUENOS AIRES</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IGUAZÚ</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BARILOCHE</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EL CALAFATE</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Turista</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Two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Los Helechos</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Kenton</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Michelangelo</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Dazzler</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Mercure Iguazu</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Rochester</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Kosten Aike</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Superior</w:t>
            </w:r>
          </w:p>
        </w:tc>
        <w:tc>
          <w:tcPr>
            <w:tcW w:w="187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InterContinental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color w:val="000000" w:themeColor="text1"/>
                <w:sz w:val="18"/>
                <w:szCs w:val="18"/>
                <w:lang w:val="es-ES" w:eastAsia="es-ES"/>
              </w:rPr>
            </w:pPr>
            <w:r>
              <w:rPr>
                <w:rFonts w:eastAsia="Times New Roman" w:cs="Arial" w:ascii="Arial" w:hAnsi="Arial"/>
                <w:color w:val="000000" w:themeColor="text1" w:themeShade="ff" w:themeTint="ff"/>
                <w:kern w:val="0"/>
                <w:sz w:val="18"/>
                <w:szCs w:val="18"/>
                <w:lang w:val="es-ES" w:eastAsia="es-ES" w:bidi="ar-SA"/>
              </w:rPr>
              <w:t>Loi Suites Iguazu</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Alma del Lago</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bookmarkStart w:id="3" w:name="_Hlk155346810"/>
            <w:r>
              <w:rPr>
                <w:rFonts w:eastAsia="Times New Roman" w:cs="Arial" w:ascii="Arial" w:hAnsi="Arial"/>
                <w:bCs/>
                <w:color w:val="000000" w:themeColor="text1"/>
                <w:kern w:val="0"/>
                <w:sz w:val="18"/>
                <w:szCs w:val="18"/>
                <w:lang w:val="es-ES_tradnl" w:eastAsia="es-ES" w:bidi="ar-SA"/>
              </w:rPr>
              <w:t>Hotel Imago</w:t>
            </w:r>
            <w:bookmarkEnd w:id="3"/>
          </w:p>
        </w:tc>
      </w:tr>
    </w:tbl>
    <w:p>
      <w:pPr>
        <w:pStyle w:val="Normal"/>
        <w:spacing w:lineRule="auto" w:line="240" w:before="0" w:after="0"/>
        <w:rPr>
          <w:rFonts w:ascii="Arial" w:hAnsi="Arial" w:cs="Arial"/>
          <w:b/>
          <w:b/>
          <w:bCs/>
          <w:i/>
          <w:i/>
          <w:iCs/>
          <w:sz w:val="18"/>
          <w:szCs w:val="18"/>
        </w:rPr>
      </w:pPr>
      <w:r>
        <w:rPr>
          <w:rFonts w:cs="Arial" w:ascii="Arial" w:hAnsi="Arial"/>
          <w:b/>
          <w:bCs/>
          <w:i/>
          <w:iCs/>
          <w:sz w:val="18"/>
          <w:szCs w:val="18"/>
        </w:rPr>
        <w:t xml:space="preserve">Nota: Hoteles mencionados solo son informativos, los hoteles confirmados se les hará saber al momento de realizar la reservación.  </w:t>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t xml:space="preserve">Nos reservamos el derecho de cambio de hotel, respetando siempre la misma categoría </w:t>
      </w:r>
    </w:p>
    <w:p>
      <w:pPr>
        <w:pStyle w:val="Normal"/>
        <w:spacing w:lineRule="auto" w:line="240" w:before="0" w:after="0"/>
        <w:rPr/>
      </w:pPr>
      <w:r>
        <w:rPr>
          <w:rFonts w:cs="Arial" w:ascii="Arial" w:hAnsi="Arial"/>
          <w:b/>
          <w:bCs/>
          <w:i/>
          <w:iCs/>
          <w:sz w:val="18"/>
          <w:szCs w:val="18"/>
        </w:rPr>
        <w:t xml:space="preserve"> </w:t>
      </w:r>
    </w:p>
    <w:p>
      <w:pPr>
        <w:pStyle w:val="Normal"/>
        <w:spacing w:lineRule="auto" w:line="240" w:before="0" w:after="0"/>
        <w:rPr/>
      </w:pPr>
      <w:r>
        <w:rPr>
          <w:rFonts w:cs="Arial" w:ascii="Arial" w:hAnsi="Arial"/>
          <w:b/>
          <w:bCs/>
          <w:i/>
          <w:iCs/>
          <w:sz w:val="18"/>
          <w:szCs w:val="18"/>
        </w:rPr>
        <w:t>Todas las habitaciones son estándar, consulte a su ejecutivo para cambio de habitación</w:t>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USD: </w:t>
      </w:r>
    </w:p>
    <w:p>
      <w:pPr>
        <w:pStyle w:val="Normal"/>
        <w:spacing w:lineRule="auto" w:line="240" w:before="0" w:after="0"/>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tbl>
      <w:tblPr>
        <w:tblW w:w="894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916"/>
        <w:gridCol w:w="1221"/>
        <w:gridCol w:w="1176"/>
        <w:gridCol w:w="1200"/>
        <w:gridCol w:w="1149"/>
        <w:gridCol w:w="1146"/>
        <w:gridCol w:w="1132"/>
      </w:tblGrid>
      <w:tr>
        <w:trPr>
          <w:trHeight w:val="340" w:hRule="atLeast"/>
        </w:trPr>
        <w:tc>
          <w:tcPr>
            <w:tcW w:w="1916"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21"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1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00"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14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14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02 -10 AÑOS</w:t>
            </w:r>
          </w:p>
        </w:tc>
        <w:tc>
          <w:tcPr>
            <w:tcW w:w="1132"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40" w:hRule="atLeast"/>
        </w:trPr>
        <w:tc>
          <w:tcPr>
            <w:tcW w:w="1916" w:type="dxa"/>
            <w:vMerge w:val="restart"/>
            <w:tcBorders>
              <w:top w:val="single" w:sz="4" w:space="0" w:color="C65911"/>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08/01/24 - 31/01/24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15/02/24 - 12/03/24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01/04/24 - 18/06/24</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01/08/24 - 19/09/24</w:t>
            </w:r>
          </w:p>
        </w:tc>
        <w:tc>
          <w:tcPr>
            <w:tcW w:w="1221" w:type="dxa"/>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17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1,694</w:t>
            </w:r>
          </w:p>
        </w:tc>
        <w:tc>
          <w:tcPr>
            <w:tcW w:w="1200"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1,315</w:t>
            </w:r>
          </w:p>
        </w:tc>
        <w:tc>
          <w:tcPr>
            <w:tcW w:w="1149"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1,284</w:t>
            </w:r>
          </w:p>
        </w:tc>
        <w:tc>
          <w:tcPr>
            <w:tcW w:w="1146"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1,284</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2,076</w:t>
            </w:r>
          </w:p>
        </w:tc>
      </w:tr>
      <w:tr>
        <w:trPr>
          <w:trHeight w:val="340" w:hRule="atLeast"/>
        </w:trPr>
        <w:tc>
          <w:tcPr>
            <w:tcW w:w="1916" w:type="dxa"/>
            <w:vMerge w:val="continue"/>
            <w:tcBorders>
              <w:top w:val="single" w:sz="4" w:space="0" w:color="C65911"/>
              <w:left w:val="single" w:sz="4" w:space="0" w:color="C65911"/>
              <w:bottom w:val="single" w:sz="4" w:space="0" w:color="C65911"/>
              <w:right w:val="single" w:sz="4" w:space="0" w:color="C65911"/>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C65911"/>
              <w:right w:val="single" w:sz="4" w:space="0" w:color="DE6F00"/>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176"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3,150</w:t>
            </w:r>
          </w:p>
        </w:tc>
        <w:tc>
          <w:tcPr>
            <w:tcW w:w="1200"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1,879</w:t>
            </w:r>
          </w:p>
        </w:tc>
        <w:tc>
          <w:tcPr>
            <w:tcW w:w="1149"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1,669</w:t>
            </w:r>
          </w:p>
        </w:tc>
        <w:tc>
          <w:tcPr>
            <w:tcW w:w="1146"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1,669</w:t>
            </w:r>
          </w:p>
        </w:tc>
        <w:tc>
          <w:tcPr>
            <w:tcW w:w="1132"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3,532</w:t>
            </w:r>
          </w:p>
        </w:tc>
      </w:tr>
      <w:tr>
        <w:trPr>
          <w:trHeight w:val="340" w:hRule="atLeast"/>
        </w:trPr>
        <w:tc>
          <w:tcPr>
            <w:tcW w:w="1916" w:type="dxa"/>
            <w:vMerge w:val="continue"/>
            <w:tcBorders>
              <w:top w:val="single" w:sz="4" w:space="0" w:color="C65911"/>
              <w:left w:val="single" w:sz="4" w:space="0" w:color="C65911"/>
              <w:bottom w:val="single" w:sz="4" w:space="0" w:color="C65911"/>
              <w:right w:val="single" w:sz="4" w:space="0" w:color="C65911"/>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Superior</w:t>
            </w:r>
          </w:p>
        </w:tc>
        <w:tc>
          <w:tcPr>
            <w:tcW w:w="11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3,919</w:t>
            </w:r>
          </w:p>
        </w:tc>
        <w:tc>
          <w:tcPr>
            <w:tcW w:w="1200"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2,248</w:t>
            </w:r>
          </w:p>
        </w:tc>
        <w:tc>
          <w:tcPr>
            <w:tcW w:w="114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2,125</w:t>
            </w:r>
          </w:p>
        </w:tc>
        <w:tc>
          <w:tcPr>
            <w:tcW w:w="114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2,125</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4,301</w:t>
            </w:r>
          </w:p>
        </w:tc>
      </w:tr>
      <w:tr>
        <w:trPr>
          <w:trHeight w:val="340" w:hRule="atLeast"/>
        </w:trPr>
        <w:tc>
          <w:tcPr>
            <w:tcW w:w="1916" w:type="dxa"/>
            <w:vMerge w:val="restart"/>
            <w:tcBorders>
              <w:left w:val="single" w:sz="4" w:space="0" w:color="C65911"/>
              <w:bottom w:val="single" w:sz="4" w:space="0" w:color="C65911"/>
              <w:right w:val="single" w:sz="4" w:space="0" w:color="C65911"/>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01/10/24 - 10/12/24</w:t>
              <w:br/>
              <w:t xml:space="preserve">06/01/25 - 31/01/25 </w:t>
              <w:br/>
              <w:t>17/02/25 - 19/03/25</w:t>
            </w:r>
          </w:p>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DE6F00"/>
              <w:right w:val="single" w:sz="4" w:space="0" w:color="DE6F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176" w:type="dxa"/>
            <w:tcBorders>
              <w:bottom w:val="single" w:sz="4" w:space="0" w:color="E26B0A"/>
              <w:right w:val="single" w:sz="4" w:space="0" w:color="E26B0A"/>
            </w:tcBorders>
            <w:shd w:fill="FFFFFF" w:val="clear"/>
            <w:vAlign w:val="center"/>
          </w:tcPr>
          <w:p>
            <w:pPr>
              <w:pStyle w:val="Normal"/>
              <w:widowControl w:val="false"/>
              <w:spacing w:before="0" w:after="200"/>
              <w:rPr>
                <w:rFonts w:ascii="Arial" w:hAnsi="Arial"/>
                <w:sz w:val="18"/>
                <w:szCs w:val="18"/>
              </w:rPr>
            </w:pPr>
            <w:r>
              <w:rPr>
                <w:rFonts w:ascii="Arial" w:hAnsi="Arial"/>
                <w:sz w:val="18"/>
                <w:szCs w:val="18"/>
              </w:rPr>
              <w:t>USD 1,8</w:t>
            </w:r>
            <w:r>
              <w:rPr>
                <w:rFonts w:ascii="Arial" w:hAnsi="Arial"/>
                <w:sz w:val="18"/>
                <w:szCs w:val="18"/>
              </w:rPr>
              <w:t>55</w:t>
            </w:r>
          </w:p>
        </w:tc>
        <w:tc>
          <w:tcPr>
            <w:tcW w:w="1200" w:type="dxa"/>
            <w:tcBorders>
              <w:bottom w:val="single" w:sz="4" w:space="0" w:color="E26B0A"/>
              <w:right w:val="single" w:sz="4" w:space="0" w:color="E26B0A"/>
            </w:tcBorders>
            <w:shd w:fill="FFFFFF" w:val="clear"/>
            <w:vAlign w:val="center"/>
          </w:tcPr>
          <w:p>
            <w:pPr>
              <w:pStyle w:val="Normal"/>
              <w:widowControl w:val="false"/>
              <w:spacing w:before="0" w:after="200"/>
              <w:rPr>
                <w:rFonts w:ascii="Arial" w:hAnsi="Arial"/>
                <w:sz w:val="18"/>
                <w:szCs w:val="18"/>
              </w:rPr>
            </w:pPr>
            <w:r>
              <w:rPr>
                <w:rFonts w:ascii="Arial" w:hAnsi="Arial"/>
                <w:sz w:val="18"/>
                <w:szCs w:val="18"/>
              </w:rPr>
              <w:t>USD 1,4</w:t>
            </w:r>
            <w:r>
              <w:rPr>
                <w:rFonts w:ascii="Arial" w:hAnsi="Arial"/>
                <w:sz w:val="18"/>
                <w:szCs w:val="18"/>
              </w:rPr>
              <w:t>51</w:t>
            </w:r>
          </w:p>
        </w:tc>
        <w:tc>
          <w:tcPr>
            <w:tcW w:w="1149" w:type="dxa"/>
            <w:tcBorders>
              <w:bottom w:val="single" w:sz="4" w:space="0" w:color="E26B0A"/>
              <w:right w:val="single" w:sz="4" w:space="0" w:color="E26B0A"/>
            </w:tcBorders>
            <w:shd w:fill="FFFFFF" w:val="clear"/>
            <w:vAlign w:val="center"/>
          </w:tcPr>
          <w:p>
            <w:pPr>
              <w:pStyle w:val="Normal"/>
              <w:widowControl w:val="false"/>
              <w:spacing w:before="0" w:after="200"/>
              <w:rPr>
                <w:rFonts w:ascii="Arial" w:hAnsi="Arial"/>
                <w:sz w:val="18"/>
                <w:szCs w:val="18"/>
              </w:rPr>
            </w:pPr>
            <w:r>
              <w:rPr>
                <w:rFonts w:ascii="Arial" w:hAnsi="Arial"/>
                <w:sz w:val="18"/>
                <w:szCs w:val="18"/>
              </w:rPr>
              <w:t>USD 1,</w:t>
            </w:r>
            <w:r>
              <w:rPr>
                <w:rFonts w:ascii="Arial" w:hAnsi="Arial"/>
                <w:sz w:val="18"/>
                <w:szCs w:val="18"/>
              </w:rPr>
              <w:t>415</w:t>
            </w:r>
          </w:p>
        </w:tc>
        <w:tc>
          <w:tcPr>
            <w:tcW w:w="1146" w:type="dxa"/>
            <w:tcBorders>
              <w:bottom w:val="single" w:sz="4" w:space="0" w:color="E26B0A"/>
              <w:right w:val="single" w:sz="4" w:space="0" w:color="E26B0A"/>
            </w:tcBorders>
            <w:shd w:fill="FFFFFF" w:val="clear"/>
            <w:vAlign w:val="center"/>
          </w:tcPr>
          <w:p>
            <w:pPr>
              <w:pStyle w:val="Normal"/>
              <w:widowControl w:val="false"/>
              <w:spacing w:before="0" w:after="200"/>
              <w:rPr>
                <w:rFonts w:ascii="Arial" w:hAnsi="Arial"/>
                <w:sz w:val="18"/>
                <w:szCs w:val="18"/>
              </w:rPr>
            </w:pPr>
            <w:r>
              <w:rPr>
                <w:rFonts w:ascii="Arial" w:hAnsi="Arial"/>
                <w:sz w:val="18"/>
                <w:szCs w:val="18"/>
              </w:rPr>
              <w:t>USD 1,</w:t>
            </w:r>
            <w:r>
              <w:rPr>
                <w:rFonts w:ascii="Arial" w:hAnsi="Arial"/>
                <w:sz w:val="18"/>
                <w:szCs w:val="18"/>
              </w:rPr>
              <w:t>414</w:t>
            </w:r>
          </w:p>
        </w:tc>
        <w:tc>
          <w:tcPr>
            <w:tcW w:w="1132" w:type="dxa"/>
            <w:tcBorders>
              <w:bottom w:val="single" w:sz="4" w:space="0" w:color="E26B0A"/>
              <w:right w:val="single" w:sz="4" w:space="0" w:color="E26B0A"/>
            </w:tcBorders>
            <w:shd w:fill="FFFFFF" w:val="clear"/>
            <w:vAlign w:val="center"/>
          </w:tcPr>
          <w:p>
            <w:pPr>
              <w:pStyle w:val="Normal"/>
              <w:widowControl w:val="false"/>
              <w:spacing w:before="0" w:after="200"/>
              <w:rPr>
                <w:rFonts w:ascii="Arial" w:hAnsi="Arial"/>
                <w:sz w:val="18"/>
                <w:szCs w:val="18"/>
              </w:rPr>
            </w:pPr>
            <w:r>
              <w:rPr>
                <w:rFonts w:ascii="Arial" w:hAnsi="Arial"/>
                <w:sz w:val="18"/>
                <w:szCs w:val="18"/>
              </w:rPr>
              <w:t>USD 2,2</w:t>
            </w:r>
            <w:r>
              <w:rPr>
                <w:rFonts w:ascii="Arial" w:hAnsi="Arial"/>
                <w:sz w:val="18"/>
                <w:szCs w:val="18"/>
              </w:rPr>
              <w:t>64</w:t>
            </w:r>
          </w:p>
        </w:tc>
      </w:tr>
      <w:tr>
        <w:trPr>
          <w:trHeight w:val="340" w:hRule="atLeast"/>
        </w:trPr>
        <w:tc>
          <w:tcPr>
            <w:tcW w:w="1916" w:type="dxa"/>
            <w:vMerge w:val="continue"/>
            <w:tcBorders>
              <w:left w:val="single" w:sz="4" w:space="0" w:color="C65911"/>
              <w:bottom w:val="single" w:sz="4" w:space="0" w:color="C65911"/>
              <w:right w:val="single" w:sz="4" w:space="0" w:color="C65911"/>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1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w:t>
            </w:r>
            <w:r>
              <w:rPr>
                <w:rFonts w:eastAsia="Times New Roman" w:cs="Arial" w:ascii="Arial" w:hAnsi="Arial"/>
                <w:color w:val="000000"/>
                <w:sz w:val="18"/>
                <w:szCs w:val="18"/>
                <w:lang w:eastAsia="es-ES"/>
              </w:rPr>
              <w:t>425</w:t>
            </w:r>
          </w:p>
        </w:tc>
        <w:tc>
          <w:tcPr>
            <w:tcW w:w="1200"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w:t>
            </w:r>
            <w:r>
              <w:rPr>
                <w:rFonts w:eastAsia="Times New Roman" w:cs="Arial" w:ascii="Arial" w:hAnsi="Arial"/>
                <w:color w:val="000000"/>
                <w:sz w:val="18"/>
                <w:szCs w:val="18"/>
                <w:lang w:eastAsia="es-ES"/>
              </w:rPr>
              <w:t>58</w:t>
            </w:r>
          </w:p>
        </w:tc>
        <w:tc>
          <w:tcPr>
            <w:tcW w:w="114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827</w:t>
            </w:r>
          </w:p>
        </w:tc>
        <w:tc>
          <w:tcPr>
            <w:tcW w:w="114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827</w:t>
            </w:r>
          </w:p>
        </w:tc>
        <w:tc>
          <w:tcPr>
            <w:tcW w:w="113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w:t>
            </w:r>
            <w:r>
              <w:rPr>
                <w:rFonts w:eastAsia="Times New Roman" w:cs="Arial" w:ascii="Arial" w:hAnsi="Arial"/>
                <w:color w:val="000000"/>
                <w:sz w:val="18"/>
                <w:szCs w:val="18"/>
                <w:lang w:eastAsia="es-ES"/>
              </w:rPr>
              <w:t>834</w:t>
            </w:r>
          </w:p>
        </w:tc>
      </w:tr>
      <w:tr>
        <w:trPr>
          <w:trHeight w:val="340" w:hRule="atLeast"/>
        </w:trPr>
        <w:tc>
          <w:tcPr>
            <w:tcW w:w="1916" w:type="dxa"/>
            <w:vMerge w:val="continue"/>
            <w:tcBorders>
              <w:left w:val="single" w:sz="4" w:space="0" w:color="C65911"/>
              <w:bottom w:val="single" w:sz="4" w:space="0" w:color="C65911"/>
              <w:right w:val="single" w:sz="4" w:space="0" w:color="C65911"/>
            </w:tcBorders>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21" w:type="dxa"/>
            <w:tcBorders>
              <w:bottom w:val="single" w:sz="4" w:space="0" w:color="DE6F00"/>
              <w:right w:val="single" w:sz="4" w:space="0" w:color="DE6F00"/>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Superior</w:t>
            </w:r>
          </w:p>
        </w:tc>
        <w:tc>
          <w:tcPr>
            <w:tcW w:w="11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4,2</w:t>
            </w:r>
            <w:r>
              <w:rPr>
                <w:rFonts w:eastAsia="Times New Roman" w:cs="Arial" w:ascii="Arial" w:hAnsi="Arial"/>
                <w:color w:val="000000"/>
                <w:sz w:val="18"/>
                <w:szCs w:val="18"/>
                <w:lang w:eastAsia="es-ES"/>
              </w:rPr>
              <w:t>49</w:t>
            </w:r>
          </w:p>
        </w:tc>
        <w:tc>
          <w:tcPr>
            <w:tcW w:w="1200"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w:t>
            </w:r>
            <w:r>
              <w:rPr>
                <w:rFonts w:eastAsia="Times New Roman" w:cs="Arial" w:ascii="Arial" w:hAnsi="Arial"/>
                <w:color w:val="000000"/>
                <w:sz w:val="18"/>
                <w:szCs w:val="18"/>
                <w:lang w:eastAsia="es-ES"/>
              </w:rPr>
              <w:t>54</w:t>
            </w:r>
          </w:p>
        </w:tc>
        <w:tc>
          <w:tcPr>
            <w:tcW w:w="1149"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w:t>
            </w:r>
            <w:r>
              <w:rPr>
                <w:rFonts w:eastAsia="Times New Roman" w:cs="Arial" w:ascii="Arial" w:hAnsi="Arial"/>
                <w:color w:val="000000"/>
                <w:sz w:val="18"/>
                <w:szCs w:val="18"/>
                <w:lang w:eastAsia="es-ES"/>
              </w:rPr>
              <w:t>319</w:t>
            </w:r>
          </w:p>
        </w:tc>
        <w:tc>
          <w:tcPr>
            <w:tcW w:w="114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w:t>
            </w:r>
            <w:r>
              <w:rPr>
                <w:rFonts w:eastAsia="Times New Roman" w:cs="Arial" w:ascii="Arial" w:hAnsi="Arial"/>
                <w:color w:val="000000"/>
                <w:sz w:val="18"/>
                <w:szCs w:val="18"/>
                <w:lang w:eastAsia="es-ES"/>
              </w:rPr>
              <w:t>319</w:t>
            </w:r>
          </w:p>
        </w:tc>
        <w:tc>
          <w:tcPr>
            <w:tcW w:w="113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4,6</w:t>
            </w:r>
            <w:r>
              <w:rPr>
                <w:rFonts w:eastAsia="Times New Roman" w:cs="Arial" w:ascii="Arial" w:hAnsi="Arial"/>
                <w:color w:val="000000"/>
                <w:sz w:val="18"/>
                <w:szCs w:val="18"/>
                <w:lang w:eastAsia="es-ES"/>
              </w:rPr>
              <w:t>60</w:t>
            </w:r>
          </w:p>
        </w:tc>
      </w:tr>
    </w:tbl>
    <w:p>
      <w:pPr>
        <w:pStyle w:val="Paragraph"/>
        <w:spacing w:beforeAutospacing="0" w:before="0" w:afterAutospacing="0" w:after="0"/>
        <w:jc w:val="both"/>
        <w:textAlignment w:val="baseline"/>
        <w:rPr>
          <w:rFonts w:ascii="Arial" w:hAnsi="Arial" w:cs="Arial"/>
          <w:b/>
          <w:b/>
          <w:bCs/>
          <w:i/>
          <w:i/>
          <w:iCs/>
          <w:sz w:val="18"/>
          <w:szCs w:val="18"/>
        </w:rPr>
      </w:pPr>
      <w:bookmarkStart w:id="4" w:name="_Hlk155347946"/>
      <w:r>
        <w:rPr>
          <w:rFonts w:cs="Arial" w:ascii="Arial" w:hAnsi="Arial"/>
          <w:b/>
          <w:bCs/>
          <w:i/>
          <w:iCs/>
          <w:sz w:val="18"/>
          <w:szCs w:val="18"/>
        </w:rPr>
        <w:t>Nota: Tarifas a reconfirmar en fechas o periodos especiales, (feriados, navidad, año nuevo, carnaval, semana santa, mes de julio). Se permite 1 menor compartiendo habitación con 2 adultos en la misma habitación, con las camas disponibles.</w:t>
      </w:r>
      <w:bookmarkEnd w:id="4"/>
    </w:p>
    <w:p>
      <w:pPr>
        <w:pStyle w:val="Paragraph"/>
        <w:spacing w:beforeAutospacing="0" w:before="0" w:afterAutospacing="0" w:after="0"/>
        <w:jc w:val="both"/>
        <w:textAlignment w:val="baseline"/>
        <w:rPr>
          <w:rFonts w:ascii="Arial" w:hAnsi="Arial" w:cs="Arial"/>
          <w:b/>
          <w:b/>
          <w:bCs/>
          <w:i/>
          <w:i/>
          <w:iCs/>
          <w:sz w:val="18"/>
          <w:szCs w:val="18"/>
          <w:lang w:val="es-MX"/>
        </w:rPr>
      </w:pPr>
      <w:r>
        <w:rPr>
          <w:rFonts w:cs="Arial" w:ascii="Arial" w:hAnsi="Arial"/>
          <w:b/>
          <w:bCs/>
          <w:i/>
          <w:iCs/>
          <w:color w:val="FF0000"/>
          <w:sz w:val="18"/>
          <w:szCs w:val="18"/>
          <w:u w:val="single"/>
        </w:rPr>
        <w:t>*PVS:</w:t>
      </w:r>
      <w:r>
        <w:rPr>
          <w:rFonts w:cs="Arial" w:ascii="Arial" w:hAnsi="Arial"/>
          <w:b/>
          <w:bCs/>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INCLUYE:</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Traslados aeropuerto – hotel – aeropuerto </w:t>
      </w:r>
      <w:r>
        <w:rPr>
          <w:rFonts w:cs="Arial" w:ascii="Arial" w:hAnsi="Arial"/>
          <w:b/>
          <w:i/>
          <w:sz w:val="18"/>
          <w:szCs w:val="18"/>
          <w:lang w:val="es-ES_tradnl" w:eastAsia="es-ES"/>
        </w:rPr>
        <w:t>en servicio regular en horario diurno</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04 noches de alojamiento en Buenos Aires</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02 noches de alojamiento en Iguazú</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03 noches de alojamiento en Bariloche</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02 noches de alojamiento en El Calafate</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 xml:space="preserve">11 desayunos </w:t>
      </w:r>
      <w:r>
        <w:rPr>
          <w:rFonts w:cs="Arial" w:ascii="Arial" w:hAnsi="Arial"/>
          <w:sz w:val="18"/>
          <w:szCs w:val="18"/>
        </w:rPr>
        <w:t>(servido dentro del horario estipulado por el hotel)</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City Tour en Buenos Aires</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Cataratas de Brasil y Argentina con ingreso incluido</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en Bariloche con Circuito Chico con ingreso incluido</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Excursión a Glaciar Perito Moreno con ingreso incluido</w:t>
      </w:r>
    </w:p>
    <w:p>
      <w:pPr>
        <w:pStyle w:val="NoSpacing"/>
        <w:widowControl w:val="false"/>
        <w:numPr>
          <w:ilvl w:val="0"/>
          <w:numId w:val="4"/>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Guía en habla hispana</w:t>
      </w:r>
    </w:p>
    <w:p>
      <w:pPr>
        <w:pStyle w:val="NoSpacing"/>
        <w:widowControl w:val="false"/>
        <w:numPr>
          <w:ilvl w:val="0"/>
          <w:numId w:val="5"/>
        </w:numPr>
        <w:jc w:val="both"/>
        <w:textAlignment w:val="baseline"/>
        <w:rPr>
          <w:rFonts w:ascii="Arial" w:hAnsi="Arial" w:cs="Arial"/>
          <w:b/>
          <w:b/>
          <w:i/>
          <w:i/>
          <w:color w:val="000000"/>
          <w:sz w:val="18"/>
          <w:szCs w:val="18"/>
          <w:lang w:val="es-ES_tradnl" w:eastAsia="es-ES"/>
        </w:rPr>
      </w:pPr>
      <w:r>
        <w:rPr>
          <w:rFonts w:cs="Arial" w:ascii="Arial" w:hAnsi="Arial"/>
          <w:b/>
          <w:i/>
          <w:color w:val="000000"/>
          <w:sz w:val="18"/>
          <w:szCs w:val="18"/>
          <w:lang w:val="es-ES_tradnl" w:eastAsia="es-ES"/>
        </w:rPr>
        <w:t>Seguro de viaje con cobertura COVID</w:t>
      </w:r>
    </w:p>
    <w:p>
      <w:pPr>
        <w:pStyle w:val="NoSpacing"/>
        <w:widowControl w:val="false"/>
        <w:numPr>
          <w:ilvl w:val="0"/>
          <w:numId w:val="5"/>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8"/>
          <w:szCs w:val="8"/>
          <w:u w:val="single"/>
          <w:lang w:val="es-ES_tradnl" w:eastAsia="es-ES"/>
        </w:rPr>
      </w:pPr>
      <w:r>
        <w:rPr>
          <w:rFonts w:eastAsia="Times New Roman" w:cs="Arial" w:ascii="Arial" w:hAnsi="Arial"/>
          <w:b/>
          <w:color w:val="E36C0A" w:themeColor="accent6" w:themeShade="bf"/>
          <w:sz w:val="8"/>
          <w:szCs w:val="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8"/>
          <w:szCs w:val="8"/>
          <w:u w:val="single"/>
          <w:lang w:val="es-ES_tradnl" w:eastAsia="es-ES"/>
        </w:rPr>
      </w:pPr>
      <w:r>
        <w:rPr>
          <w:rFonts w:eastAsia="Times New Roman" w:cs="Arial" w:ascii="Arial" w:hAnsi="Arial"/>
          <w:b/>
          <w:color w:val="E36C0A" w:themeColor="accent6" w:themeShade="bf"/>
          <w:sz w:val="8"/>
          <w:szCs w:val="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EL PRECIO NO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Boletos de avión México – Buenos Aires – Iguazú – Bariloche – Calafate – Buenos Aires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y propinas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Alimentos no mencionados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Tasa Turística en Iguazú (pago directo en destino)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Impuestos de Alojamiento en Buenos Aires y Bariloche (pago directo en destino)</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rPr/>
      </w:pPr>
      <w:r>
        <w:rPr/>
      </w:r>
      <w:r>
        <w:br w:type="page"/>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SUPLEMENTOS </w:t>
      </w:r>
      <w:r>
        <w:rPr>
          <w:rFonts w:cs="Arial" w:ascii="Arial" w:hAnsi="Arial"/>
          <w:b/>
          <w:color w:val="E36C0A" w:themeColor="accent6" w:themeShade="bf"/>
          <w:sz w:val="18"/>
          <w:szCs w:val="18"/>
          <w:u w:val="single"/>
        </w:rPr>
        <w:t>/ SERVICIOS ADICIONALES PRECIO POR PERSONA EN USD</w:t>
      </w:r>
      <w:r>
        <w:rPr>
          <w:rFonts w:eastAsia="Times New Roman" w:cs="Arial" w:ascii="Arial" w:hAnsi="Arial"/>
          <w:b/>
          <w:color w:val="E36C0A" w:themeColor="accent6" w:themeShade="bf"/>
          <w:sz w:val="18"/>
          <w:szCs w:val="18"/>
          <w:u w:val="single"/>
          <w:lang w:val="es-ES_tradnl" w:eastAsia="es-ES"/>
        </w:rPr>
        <w:t>:</w:t>
      </w:r>
    </w:p>
    <w:p>
      <w:pPr>
        <w:pStyle w:val="Normal"/>
        <w:spacing w:lineRule="auto" w:line="240" w:before="0" w:after="0"/>
        <w:jc w:val="both"/>
        <w:rPr>
          <w:rFonts w:ascii="Arial" w:hAnsi="Arial" w:cs="Arial"/>
          <w:b/>
          <w:b/>
          <w:bCs/>
          <w:i/>
          <w:i/>
          <w:iCs/>
          <w:color w:val="000000"/>
          <w:sz w:val="18"/>
          <w:szCs w:val="18"/>
          <w:shd w:fill="FFFFFF" w:val="clear"/>
        </w:rPr>
      </w:pPr>
      <w:r>
        <w:rPr>
          <w:rFonts w:cs="Arial" w:ascii="Arial" w:hAnsi="Arial"/>
          <w:b/>
          <w:bCs/>
          <w:i/>
          <w:iCs/>
          <w:color w:val="000000"/>
          <w:sz w:val="18"/>
          <w:szCs w:val="18"/>
          <w:shd w:fill="FFFFFF" w:val="clear"/>
        </w:rPr>
      </w:r>
    </w:p>
    <w:tbl>
      <w:tblPr>
        <w:tblStyle w:val="Tablaconcuadrcula"/>
        <w:tblW w:w="680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695"/>
        <w:gridCol w:w="1286"/>
        <w:gridCol w:w="1276"/>
        <w:gridCol w:w="1275"/>
        <w:gridCol w:w="1276"/>
      </w:tblGrid>
      <w:tr>
        <w:trPr>
          <w:trHeight w:val="340" w:hRule="atLeast"/>
        </w:trPr>
        <w:tc>
          <w:tcPr>
            <w:tcW w:w="6808" w:type="dxa"/>
            <w:gridSpan w:val="5"/>
            <w:tcBorders>
              <w:top w:val="single" w:sz="4" w:space="0" w:color="C00000"/>
              <w:left w:val="single" w:sz="4" w:space="0" w:color="C00000"/>
              <w:bottom w:val="single" w:sz="4" w:space="0" w:color="E36C0A"/>
              <w:right w:val="single" w:sz="4" w:space="0" w:color="C00000"/>
            </w:tcBorders>
            <w:shd w:color="auto" w:fill="C00000" w:val="clear"/>
            <w:vAlign w:val="center"/>
          </w:tcPr>
          <w:p>
            <w:pPr>
              <w:pStyle w:val="Normal"/>
              <w:widowControl w:val="false"/>
              <w:suppressAutoHyphens w:val="true"/>
              <w:spacing w:lineRule="auto" w:line="240" w:before="0" w:after="0"/>
              <w:jc w:val="left"/>
              <w:rPr>
                <w:rFonts w:ascii="Arial" w:hAnsi="Arial" w:cs="Arial"/>
                <w:b/>
                <w:b/>
                <w:bCs/>
                <w:sz w:val="18"/>
                <w:szCs w:val="18"/>
              </w:rPr>
            </w:pPr>
            <w:r>
              <w:rPr>
                <w:rFonts w:eastAsia="Calibri" w:cs="Arial" w:ascii="Arial" w:hAnsi="Arial"/>
                <w:b/>
                <w:bCs/>
                <w:color w:val="FFFFFF" w:themeColor="background1"/>
                <w:kern w:val="0"/>
                <w:sz w:val="18"/>
                <w:szCs w:val="18"/>
                <w:lang w:eastAsia="en-US" w:bidi="ar-SA"/>
              </w:rPr>
              <w:t>Traslados nocturnos después de las 22:00hrs y antes de las 07:00hrs – One way (un solo trayecto)</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000000" w:themeColor="text1"/>
                <w:kern w:val="0"/>
                <w:sz w:val="18"/>
                <w:szCs w:val="18"/>
                <w:lang w:eastAsia="es-ES" w:bidi="ar-SA"/>
              </w:rPr>
              <w:t>Ciudad</w:t>
            </w:r>
          </w:p>
        </w:tc>
        <w:tc>
          <w:tcPr>
            <w:tcW w:w="128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1 Pasajero</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2 Pasajeros</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3 Pasajeros</w:t>
            </w:r>
          </w:p>
        </w:tc>
        <w:tc>
          <w:tcPr>
            <w:tcW w:w="1276"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uppressAutoHyphens w:val="true"/>
              <w:spacing w:lineRule="auto" w:line="240" w:before="0" w:after="0"/>
              <w:jc w:val="center"/>
              <w:rPr>
                <w:rFonts w:ascii="Arial" w:hAnsi="Arial" w:eastAsia="Times New Roman" w:cs="Arial"/>
                <w:b/>
                <w:b/>
                <w:bCs/>
                <w:color w:val="000000" w:themeColor="text1"/>
                <w:sz w:val="18"/>
                <w:szCs w:val="18"/>
                <w:lang w:val="es-ES" w:eastAsia="es-ES"/>
              </w:rPr>
            </w:pPr>
            <w:r>
              <w:rPr>
                <w:rFonts w:eastAsia="Times New Roman" w:cs="Arial" w:ascii="Arial" w:hAnsi="Arial"/>
                <w:b/>
                <w:bCs/>
                <w:color w:val="000000" w:themeColor="text1" w:themeShade="ff" w:themeTint="ff"/>
                <w:kern w:val="0"/>
                <w:sz w:val="18"/>
                <w:szCs w:val="18"/>
                <w:lang w:val="es-ES" w:eastAsia="es-ES" w:bidi="ar-SA"/>
              </w:rPr>
              <w:t>4 Pasajeros</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Bariloche</w:t>
            </w:r>
          </w:p>
        </w:tc>
        <w:tc>
          <w:tcPr>
            <w:tcW w:w="128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 xml:space="preserve">USD 32 </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17</w:t>
            </w:r>
          </w:p>
        </w:tc>
        <w:tc>
          <w:tcPr>
            <w:tcW w:w="127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46</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35</w:t>
            </w:r>
          </w:p>
        </w:tc>
      </w:tr>
      <w:tr>
        <w:trPr>
          <w:trHeight w:val="340" w:hRule="atLeast"/>
        </w:trPr>
        <w:tc>
          <w:tcPr>
            <w:tcW w:w="169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left"/>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Iguazú</w:t>
            </w:r>
          </w:p>
        </w:tc>
        <w:tc>
          <w:tcPr>
            <w:tcW w:w="128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119</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60</w:t>
            </w:r>
          </w:p>
        </w:tc>
        <w:tc>
          <w:tcPr>
            <w:tcW w:w="1275"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r>
              <w:rPr>
                <w:rFonts w:eastAsia="Times New Roman" w:cs="Arial" w:ascii="Arial" w:hAnsi="Arial"/>
                <w:bCs/>
                <w:color w:val="000000" w:themeColor="text1"/>
                <w:kern w:val="0"/>
                <w:sz w:val="18"/>
                <w:szCs w:val="18"/>
                <w:lang w:val="es-ES_tradnl" w:eastAsia="es-ES" w:bidi="ar-SA"/>
              </w:rPr>
              <w:t>USD 50</w:t>
            </w:r>
          </w:p>
        </w:tc>
        <w:tc>
          <w:tcPr>
            <w:tcW w:w="1276" w:type="dxa"/>
            <w:tcBorders>
              <w:top w:val="single" w:sz="4" w:space="0" w:color="C00000"/>
              <w:left w:val="single" w:sz="4" w:space="0" w:color="C00000"/>
              <w:bottom w:val="single" w:sz="4" w:space="0" w:color="C00000"/>
              <w:right w:val="single" w:sz="4" w:space="0" w:color="C00000"/>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val="es-ES_tradnl" w:eastAsia="es-ES"/>
              </w:rPr>
            </w:pPr>
            <w:bookmarkStart w:id="5" w:name="_Hlk155347077"/>
            <w:r>
              <w:rPr>
                <w:rFonts w:eastAsia="Times New Roman" w:cs="Arial" w:ascii="Arial" w:hAnsi="Arial"/>
                <w:bCs/>
                <w:color w:val="000000" w:themeColor="text1"/>
                <w:kern w:val="0"/>
                <w:sz w:val="18"/>
                <w:szCs w:val="18"/>
                <w:lang w:val="es-ES_tradnl" w:eastAsia="es-ES" w:bidi="ar-SA"/>
              </w:rPr>
              <w:t>USD 46</w:t>
            </w:r>
            <w:bookmarkEnd w:id="5"/>
          </w:p>
        </w:tc>
      </w:tr>
    </w:tbl>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sz w:val="18"/>
          <w:szCs w:val="18"/>
          <w:shd w:fill="FFFFFF" w:val="clear"/>
        </w:rPr>
        <w:t xml:space="preserve">Nota: El servicio de traslado nocturno de llegada o salida se brinda en privado con chofer en español. </w:t>
      </w:r>
      <w:r>
        <w:rPr>
          <w:rFonts w:cs="Arial" w:ascii="Arial" w:hAnsi="Arial"/>
          <w:b/>
          <w:bCs/>
          <w:i/>
          <w:iCs/>
          <w:color w:val="000000" w:themeColor="text1"/>
          <w:sz w:val="18"/>
          <w:szCs w:val="18"/>
          <w:shd w:fill="FFFFFF" w:val="clear"/>
        </w:rPr>
        <w:t>En Buenos Aires y El Calafate no hay suplemento por servicios nocturnos.</w:t>
      </w:r>
    </w:p>
    <w:p>
      <w:pPr>
        <w:pStyle w:val="Normal"/>
        <w:spacing w:lineRule="auto" w:line="240" w:before="0" w:after="0"/>
        <w:jc w:val="both"/>
        <w:rPr>
          <w:rFonts w:ascii="Arial" w:hAnsi="Arial" w:cs="Arial"/>
          <w:b/>
          <w:b/>
          <w:bCs/>
          <w:i/>
          <w:i/>
          <w:iCs/>
          <w:color w:val="000000" w:themeColor="text1"/>
          <w:sz w:val="18"/>
          <w:szCs w:val="18"/>
          <w:shd w:fill="FFFFFF" w:val="clear"/>
        </w:rPr>
      </w:pPr>
      <w:r>
        <w:rPr>
          <w:rFonts w:cs="Arial" w:ascii="Arial" w:hAnsi="Arial"/>
          <w:b/>
          <w:bCs/>
          <w:i/>
          <w:iCs/>
          <w:color w:val="000000" w:themeColor="text1"/>
          <w:sz w:val="18"/>
          <w:szCs w:val="18"/>
          <w:shd w:fill="FFFFFF" w:val="clear"/>
        </w:rPr>
      </w:r>
    </w:p>
    <w:tbl>
      <w:tblPr>
        <w:tblW w:w="864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652"/>
        <w:gridCol w:w="1163"/>
        <w:gridCol w:w="1275"/>
        <w:gridCol w:w="1274"/>
        <w:gridCol w:w="1278"/>
      </w:tblGrid>
      <w:tr>
        <w:trPr>
          <w:trHeight w:val="397" w:hRule="atLeast"/>
        </w:trPr>
        <w:tc>
          <w:tcPr>
            <w:tcW w:w="3652" w:type="dxa"/>
            <w:vMerge w:val="restart"/>
            <w:tcBorders>
              <w:top w:val="single" w:sz="4" w:space="0" w:color="C00000"/>
              <w:left w:val="single" w:sz="4" w:space="0" w:color="C00000"/>
              <w:bottom w:val="single" w:sz="4" w:space="0" w:color="C00000"/>
              <w:right w:val="single" w:sz="4" w:space="0" w:color="C00000"/>
            </w:tcBorders>
            <w:shd w:color="auto" w:fill="C00000" w:val="clear"/>
            <w:vAlign w:val="center"/>
          </w:tcPr>
          <w:p>
            <w:pPr>
              <w:pStyle w:val="Normal"/>
              <w:widowControl w:val="false"/>
              <w:spacing w:lineRule="auto" w:line="240" w:before="0" w:after="0"/>
              <w:rPr>
                <w:rFonts w:ascii="Arial" w:hAnsi="Arial" w:eastAsia="Times New Roman" w:cs="Arial"/>
                <w:b/>
                <w:b/>
                <w:bCs/>
                <w:color w:val="FFFFFF" w:themeColor="background1"/>
                <w:sz w:val="18"/>
                <w:szCs w:val="18"/>
                <w:lang w:eastAsia="es-ES"/>
              </w:rPr>
            </w:pPr>
            <w:bookmarkStart w:id="6" w:name="_Hlk155347104"/>
            <w:r>
              <w:rPr>
                <w:rFonts w:eastAsia="Times New Roman" w:cs="Arial" w:ascii="Arial" w:hAnsi="Arial"/>
                <w:b/>
                <w:bCs/>
                <w:color w:val="FFFFFF" w:themeColor="background1"/>
                <w:sz w:val="18"/>
                <w:szCs w:val="18"/>
                <w:lang w:eastAsia="es-ES"/>
              </w:rPr>
              <w:t>Traslado arribo/salida desde o hacia EZE (aeropuerto internacional) en vuelos domésticos – One way</w:t>
            </w:r>
          </w:p>
        </w:tc>
        <w:tc>
          <w:tcPr>
            <w:tcW w:w="1163"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1 Pasajero</w:t>
            </w:r>
          </w:p>
        </w:tc>
        <w:tc>
          <w:tcPr>
            <w:tcW w:w="1275"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2 Pasajeros</w:t>
            </w:r>
          </w:p>
        </w:tc>
        <w:tc>
          <w:tcPr>
            <w:tcW w:w="1274"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3 Pasajeros</w:t>
            </w:r>
          </w:p>
        </w:tc>
        <w:tc>
          <w:tcPr>
            <w:tcW w:w="1278" w:type="dxa"/>
            <w:tcBorders>
              <w:top w:val="single" w:sz="4" w:space="0" w:color="C00000"/>
              <w:left w:val="single" w:sz="4" w:space="0" w:color="C00000"/>
              <w:bottom w:val="single" w:sz="4" w:space="0" w:color="C00000"/>
              <w:right w:val="single" w:sz="4" w:space="0" w:color="C00000"/>
            </w:tcBorders>
            <w:shd w:color="auto" w:fill="FFA7A7" w:val="clear"/>
            <w:vAlign w:val="center"/>
          </w:tcPr>
          <w:p>
            <w:pPr>
              <w:pStyle w:val="Normal"/>
              <w:widowControl w:val="false"/>
              <w:spacing w:lineRule="auto" w:line="240" w:before="0" w:after="0"/>
              <w:jc w:val="center"/>
              <w:rPr>
                <w:rFonts w:ascii="Arial" w:hAnsi="Arial" w:eastAsia="Times New Roman" w:cs="Arial"/>
                <w:b/>
                <w:b/>
                <w:bCs/>
                <w:color w:val="000000" w:themeColor="text1"/>
                <w:sz w:val="18"/>
                <w:szCs w:val="18"/>
                <w:lang w:eastAsia="es-ES"/>
              </w:rPr>
            </w:pPr>
            <w:r>
              <w:rPr>
                <w:rFonts w:eastAsia="Times New Roman" w:cs="Arial" w:ascii="Arial" w:hAnsi="Arial"/>
                <w:b/>
                <w:color w:val="000000" w:themeColor="text1"/>
                <w:sz w:val="18"/>
                <w:szCs w:val="18"/>
                <w:lang w:val="es-ES_tradnl" w:eastAsia="es-ES"/>
              </w:rPr>
              <w:t>4 Pasajeros</w:t>
            </w:r>
          </w:p>
        </w:tc>
      </w:tr>
      <w:tr>
        <w:trPr>
          <w:trHeight w:val="397" w:hRule="atLeast"/>
        </w:trPr>
        <w:tc>
          <w:tcPr>
            <w:tcW w:w="3652" w:type="dxa"/>
            <w:vMerge w:val="continue"/>
            <w:tcBorders>
              <w:left w:val="single" w:sz="4" w:space="0" w:color="C00000"/>
              <w:bottom w:val="single" w:sz="4" w:space="0" w:color="C00000"/>
              <w:right w:val="single" w:sz="4" w:space="0" w:color="C00000"/>
            </w:tcBorders>
            <w:shd w:color="auto" w:fill="C00000"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r>
          </w:p>
        </w:tc>
        <w:tc>
          <w:tcPr>
            <w:tcW w:w="1163"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49 </w:t>
            </w:r>
          </w:p>
        </w:tc>
        <w:tc>
          <w:tcPr>
            <w:tcW w:w="1275"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43 </w:t>
            </w:r>
          </w:p>
        </w:tc>
        <w:tc>
          <w:tcPr>
            <w:tcW w:w="1274"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35 </w:t>
            </w:r>
          </w:p>
        </w:tc>
        <w:tc>
          <w:tcPr>
            <w:tcW w:w="1278" w:type="dxa"/>
            <w:tcBorders>
              <w:top w:val="single" w:sz="4" w:space="0" w:color="C00000"/>
              <w:left w:val="single" w:sz="4" w:space="0" w:color="C00000"/>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26 </w:t>
            </w:r>
            <w:bookmarkEnd w:id="6"/>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también puede consultar en </w:t>
      </w:r>
      <w:hyperlink r:id="rId3">
        <w:r>
          <w:rPr>
            <w:rStyle w:val="EnlacedeInternet"/>
            <w:rFonts w:cs="Arial" w:ascii="Arial" w:hAnsi="Arial"/>
            <w:sz w:val="18"/>
            <w:szCs w:val="18"/>
            <w:lang w:val="es-ES" w:eastAsia="es-ES"/>
          </w:rPr>
          <w:t>https://www.argentina.gob.ar/interior/migraciones/turistas</w:t>
        </w:r>
      </w:hyperlink>
      <w:r>
        <w:rPr>
          <w:rFonts w:cs="Arial" w:ascii="Arial" w:hAnsi="Arial"/>
          <w:sz w:val="18"/>
          <w:szCs w:val="18"/>
          <w:lang w:val="es-ES" w:eastAsia="es-ES"/>
        </w:rPr>
        <w:t xml:space="preserve">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pPr>
        <w:pStyle w:val="NoSpacing"/>
        <w:widowControl w:val="false"/>
        <w:numPr>
          <w:ilvl w:val="0"/>
          <w:numId w:val="2"/>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ARGENTINA:</w:t>
      </w:r>
    </w:p>
    <w:p>
      <w:pPr>
        <w:pStyle w:val="NoSpacing"/>
        <w:widowControl w:val="false"/>
        <w:ind w:left="708" w:hanging="0"/>
        <w:jc w:val="both"/>
        <w:textAlignment w:val="baseline"/>
        <w:rPr>
          <w:rFonts w:ascii="Arial" w:hAnsi="Arial" w:cs="Arial"/>
          <w:sz w:val="18"/>
          <w:szCs w:val="18"/>
          <w:lang w:val="es-ES" w:eastAsia="es-ES"/>
        </w:rPr>
      </w:pPr>
      <w:r>
        <w:rPr>
          <w:rFonts w:cs="Arial" w:ascii="Arial" w:hAnsi="Arial"/>
          <w:sz w:val="18"/>
          <w:szCs w:val="18"/>
          <w:lang w:val="es-ES" w:eastAsia="es-ES"/>
        </w:rPr>
        <w:t>Informamos que el Gobierno de la Ciudad de Buenos Aires, se establece el cobro de una percepción sobre el Derecho de Uso Urbano llamada “TASA VISIT CABA”. Aplica a turistas no residentes, a partir de los 12 años de edad, dicho impuestos se cobrará al momento del check-out en base al Tipo de Cambio oficial de Banco Nación, por cada noche de alojamiento y a cada uno de los pasajeros no residentes. El pago de la tasa la realizará el pasajero en recepción al momento del check-out, sin excepción. Se emitirá Factura tipo B por dicho concepto que será entregada al pasajero en cuanto se retire del hotel.</w:t>
      </w:r>
    </w:p>
    <w:p>
      <w:pPr>
        <w:pStyle w:val="NoSpacing"/>
        <w:widowControl w:val="false"/>
        <w:ind w:left="708" w:hanging="0"/>
        <w:jc w:val="both"/>
        <w:textAlignment w:val="baseline"/>
        <w:rPr>
          <w:rFonts w:ascii="Arial" w:hAnsi="Arial" w:cs="Arial"/>
          <w:sz w:val="18"/>
          <w:szCs w:val="18"/>
          <w:lang w:val="es-ES" w:eastAsia="es-ES"/>
        </w:rPr>
      </w:pPr>
      <w:r>
        <w:rPr>
          <w:rFonts w:cs="Arial" w:ascii="Arial" w:hAnsi="Arial"/>
          <w:sz w:val="18"/>
          <w:szCs w:val="18"/>
          <w:lang w:val="es-ES" w:eastAsia="es-ES"/>
        </w:rPr>
        <w:t>Se pagara por noche y por persona dependiendo de la característica del alojamiento utilizado, como se muestra a continuación(los costos son aproximados:</w:t>
      </w:r>
    </w:p>
    <w:p>
      <w:pPr>
        <w:pStyle w:val="NoSpacing"/>
        <w:widowControl w:val="false"/>
        <w:ind w:left="708"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3* estrellas USD 0.50</w:t>
      </w:r>
    </w:p>
    <w:p>
      <w:pPr>
        <w:pStyle w:val="NoSpacing"/>
        <w:widowControl w:val="false"/>
        <w:ind w:left="708"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4* estrellas USD 1.00</w:t>
      </w:r>
    </w:p>
    <w:p>
      <w:pPr>
        <w:pStyle w:val="NoSpacing"/>
        <w:widowControl w:val="false"/>
        <w:ind w:left="708"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5* estrellas USD 1.50</w:t>
      </w:r>
    </w:p>
    <w:p>
      <w:pPr>
        <w:pStyle w:val="NoSpacing"/>
        <w:widowControl w:val="false"/>
        <w:ind w:left="708"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Hoteles Boutique USD 1.00</w:t>
      </w:r>
    </w:p>
    <w:p>
      <w:pPr>
        <w:pStyle w:val="NoSpacing"/>
        <w:widowControl w:val="false"/>
        <w:ind w:left="708" w:hanging="0"/>
        <w:jc w:val="both"/>
        <w:textAlignment w:val="baseline"/>
        <w:rPr>
          <w:rFonts w:ascii="Arial" w:hAnsi="Arial" w:cs="Arial"/>
          <w:sz w:val="18"/>
          <w:szCs w:val="18"/>
          <w:lang w:val="es-ES" w:eastAsia="es-ES"/>
        </w:rPr>
      </w:pPr>
      <w:r>
        <w:rPr>
          <w:rFonts w:cs="Arial" w:ascii="Arial" w:hAnsi="Arial"/>
          <w:sz w:val="18"/>
          <w:szCs w:val="18"/>
          <w:lang w:val="es-ES" w:eastAsia="es-ES"/>
        </w:rPr>
        <w:t>Apart Hoteles USD 0.50</w:t>
      </w:r>
    </w:p>
    <w:p>
      <w:pPr>
        <w:pStyle w:val="NoSpacing"/>
        <w:widowControl w:val="false"/>
        <w:ind w:left="708"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Cruceros USD 1.00</w:t>
      </w:r>
    </w:p>
    <w:p>
      <w:pPr>
        <w:pStyle w:val="NoSpacing"/>
        <w:widowControl w:val="false"/>
        <w:ind w:left="708" w:hanging="0"/>
        <w:jc w:val="both"/>
        <w:textAlignment w:val="baseline"/>
        <w:rPr>
          <w:rFonts w:ascii="Arial" w:hAnsi="Arial" w:cs="Arial"/>
          <w:sz w:val="18"/>
          <w:szCs w:val="18"/>
          <w:lang w:val="es-ES" w:eastAsia="es-ES"/>
        </w:rPr>
      </w:pPr>
      <w:r>
        <w:rPr>
          <w:rFonts w:cs="Arial" w:ascii="Arial" w:hAnsi="Arial"/>
          <w:sz w:val="18"/>
          <w:szCs w:val="18"/>
          <w:lang w:val="es-ES" w:eastAsia="es-ES"/>
        </w:rPr>
        <w:t>El monto correspondiente será cobrado por el hotel al pasajero al momento del check-out, los precios mencionados son orientativos y sujetos a cambio por disposición de del gobierno de la Ciudad de Buenos Aires.</w:t>
      </w:r>
    </w:p>
    <w:p>
      <w:pPr>
        <w:pStyle w:val="NoSpacing"/>
        <w:widowControl w:val="false"/>
        <w:numPr>
          <w:ilvl w:val="0"/>
          <w:numId w:val="2"/>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BARILOCHE:</w:t>
      </w:r>
    </w:p>
    <w:p>
      <w:pPr>
        <w:pStyle w:val="NoSpacing"/>
        <w:widowControl w:val="false"/>
        <w:ind w:left="708" w:hanging="0"/>
        <w:jc w:val="both"/>
        <w:textAlignment w:val="baseline"/>
        <w:rPr>
          <w:rFonts w:ascii="Arial" w:hAnsi="Arial" w:cs="Arial"/>
          <w:sz w:val="18"/>
          <w:szCs w:val="18"/>
          <w:lang w:val="es-ES" w:eastAsia="es-ES"/>
        </w:rPr>
      </w:pPr>
      <w:r>
        <w:rPr>
          <w:rFonts w:cs="Arial" w:ascii="Arial" w:hAnsi="Arial"/>
          <w:sz w:val="18"/>
          <w:szCs w:val="18"/>
          <w:lang w:val="es-ES" w:eastAsia="es-ES"/>
        </w:rPr>
        <w:t>Informamos que, de acuerdo con la nueva Ordenanza Fiscal y Tarifaria, que el consejo Municipal de San Carlos de Bariloche ha sancionado, se ha establecido una EcoTasa para la preservación y cuidado del medio ambiente y el entorno natural. Esta EcoTasa será cobrada directamente al PASAJERO en el HOTEL donde se aloje. Se cobrará un valor en pesos, de acuerdo con la categoría del hotel conforme la siguiente tabla, por noche (hasta un máximo de tres (3) noches) por pasajero mayor de 14 años.</w:t>
      </w:r>
    </w:p>
    <w:p>
      <w:pPr>
        <w:pStyle w:val="NoSpacing"/>
        <w:widowControl w:val="false"/>
        <w:ind w:left="708"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Valores ECOTASA por Alojamientos por noche por persona:</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3*: ARS 30</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4*: ARS 45</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t>5*: ARS 60</w:t>
      </w:r>
    </w:p>
    <w:p>
      <w:pPr>
        <w:pStyle w:val="NoSpacing"/>
        <w:widowControl w:val="false"/>
        <w:ind w:left="708" w:hanging="0"/>
        <w:jc w:val="both"/>
        <w:textAlignment w:val="baseline"/>
        <w:rPr>
          <w:rFonts w:ascii="Arial" w:hAnsi="Arial" w:cs="Arial"/>
          <w:sz w:val="18"/>
          <w:szCs w:val="18"/>
          <w:lang w:val="es-ES" w:eastAsia="es-ES"/>
        </w:rPr>
      </w:pPr>
      <w:r>
        <w:rPr>
          <w:rFonts w:cs="Arial" w:ascii="Arial" w:hAnsi="Arial"/>
          <w:sz w:val="18"/>
          <w:szCs w:val="18"/>
          <w:lang w:val="es-ES" w:eastAsia="es-ES"/>
        </w:rPr>
        <w:t>El monto correspondiente será cobrado por el hotel al pasajero al momento del check-out, los precios mencionados son orientativos y sujetos a cambio por disposición de del gobierno de la Ciudad de Buenos Aires.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MX" w:eastAsia="es-MX"/>
        </w:rPr>
        <w:t>Tasas turísticas en Iguazú, 2 usd por noche por persona</w:t>
      </w:r>
      <w:r>
        <w:rPr>
          <w:rFonts w:cs="Arial" w:ascii="Arial" w:hAnsi="Arial"/>
          <w:b/>
          <w:bCs/>
          <w:sz w:val="18"/>
          <w:szCs w:val="18"/>
          <w:lang w:val="es-MX" w:eastAsia="es-MX"/>
        </w:rPr>
        <w:t>.</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El monto correspondiente será cobrado por el hotel al pasajero al momento del check-out, los precios mencionados son orientativos y sujetos a cambio por disposición de del gobierno de la Ciudad de Buenos Aires.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NoSpacing"/>
        <w:widowControl w:val="false"/>
        <w:jc w:val="both"/>
        <w:rPr>
          <w:rFonts w:ascii="Arial" w:hAnsi="Arial" w:cs="Arial"/>
          <w:sz w:val="18"/>
          <w:szCs w:val="18"/>
          <w:lang w:val="es-ES" w:eastAsia="es-ES"/>
        </w:rPr>
      </w:pPr>
      <w:r>
        <w:rPr>
          <w:rFonts w:cs="Arial" w:ascii="Arial" w:hAnsi="Arial"/>
          <w:sz w:val="18"/>
          <w:szCs w:val="18"/>
          <w:lang w:val="es-ES" w:eastAsia="es-ES"/>
        </w:rPr>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rPr>
        <w:t>Los servicios de traslados y excursiones son otorgados como servicios regulares,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Los horarios de registro de entrada (check-in 15:00 hrs) y salida (check-out 09:00 hrs)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lang w:val="es-ES_tradnl" w:eastAsia="es-ES"/>
        </w:rPr>
        <w:t xml:space="preserve">Los hoteles comienzan el servicio de desayuno en un horario entre las 07:00 y las 8:00 horas, por lo que en caso de los pasajeros tengan vuelos con salidas antes de este horario, Tourmundial no se hace responsable de la pérdida o reposición del servicio, así como el hotel no garantiza el servicio de box lunch o desayuno to go.  </w:t>
      </w:r>
    </w:p>
    <w:p>
      <w:pPr>
        <w:pStyle w:val="ListParagraph"/>
        <w:widowControl w:val="false"/>
        <w:numPr>
          <w:ilvl w:val="0"/>
          <w:numId w:val="2"/>
        </w:numPr>
        <w:spacing w:lineRule="auto" w:line="240"/>
        <w:jc w:val="both"/>
        <w:textAlignment w:val="baseline"/>
        <w:rPr>
          <w:rFonts w:ascii="Arial" w:hAnsi="Arial" w:cs="Arial"/>
          <w:sz w:val="18"/>
          <w:szCs w:val="18"/>
          <w:lang w:eastAsia="es-ES"/>
        </w:rPr>
      </w:pPr>
      <w:r>
        <w:rPr>
          <w:rFonts w:cs="Arial" w:ascii="Arial" w:hAnsi="Arial"/>
          <w:sz w:val="18"/>
          <w:szCs w:val="18"/>
        </w:rPr>
        <w:t>Operación a partir de mínimo 2 personas.</w:t>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4">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HASTA EL 19  DE MARZO 2025</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SE REQUIERE DE PREPAGO</w:t>
      </w:r>
    </w:p>
    <w:tbl>
      <w:tblPr>
        <w:tblStyle w:val="Sombreadomedio1-nfasis6"/>
        <w:tblW w:w="728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83"/>
      </w:tblGrid>
      <w:tr>
        <w:trPr>
          <w:trHeight w:val="347" w:hRule="atLeast"/>
          <w:cnfStyle w:val="100000000000" w:firstRow="1" w:lastRow="0" w:firstColumn="0" w:lastColumn="0" w:oddVBand="0" w:evenVBand="0" w:oddHBand="0" w:evenHBand="0" w:firstRowFirstColumn="0" w:firstRowLastColumn="0" w:lastRowFirstColumn="0" w:lastRowLastColumn="0"/>
        </w:trPr>
        <w:tc>
          <w:tcPr>
            <w:tcW w:w="7283"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7" w:hRule="atLeast"/>
          <w:cnfStyle w:val="000000100000" w:firstRow="0" w:lastRow="0" w:firstColumn="0" w:lastColumn="0" w:oddVBand="0" w:evenVBand="0" w:oddHBand="1" w:evenHBand="0" w:firstRowFirstColumn="0" w:firstRowLastColumn="0" w:lastRowFirstColumn="0" w:lastRowLastColumn="0"/>
        </w:trPr>
        <w:tc>
          <w:tcPr>
            <w:tcW w:w="7283"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34 días antes de la fecha de salida del pasajero: SIN CARGO.</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3"/>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Spacing"/>
        <w:widowControl w:val="false"/>
        <w:jc w:val="center"/>
        <w:textAlignment w:val="baseline"/>
        <w:rPr>
          <w:rFonts w:ascii="Arial" w:hAnsi="Arial" w:cs="Arial"/>
          <w:lang w:val="es-MX"/>
        </w:rPr>
      </w:pPr>
      <w:r>
        <w:rPr>
          <w:rFonts w:cs="Arial" w:ascii="Arial" w:hAnsi="Arial"/>
          <w:b/>
          <w:sz w:val="18"/>
          <w:szCs w:val="18"/>
          <w:u w:val="single"/>
          <w:lang w:val="es-ES_tradnl" w:eastAsia="es-ES"/>
        </w:rPr>
        <w:t>El presente documento es de carácter informativo, más no una confirmación.</w:t>
      </w:r>
    </w:p>
    <w:sectPr>
      <w:headerReference w:type="default" r:id="rId5"/>
      <w:footerReference w:type="default" r:id="rId6"/>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Proxima Nova Alt Lt">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 xml:space="preserve"> 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6" wp14:anchorId="75D3FE07">
              <wp:simplePos x="0" y="0"/>
              <wp:positionH relativeFrom="page">
                <wp:posOffset>-238125</wp:posOffset>
              </wp:positionH>
              <wp:positionV relativeFrom="paragraph">
                <wp:posOffset>-450215</wp:posOffset>
              </wp:positionV>
              <wp:extent cx="7915275" cy="885825"/>
              <wp:effectExtent l="13335" t="12700" r="12065" b="12700"/>
              <wp:wrapNone/>
              <wp:docPr id="2" name="Rectángulo 1"/>
              <a:graphic xmlns:a="http://schemas.openxmlformats.org/drawingml/2006/main">
                <a:graphicData uri="http://schemas.microsoft.com/office/word/2010/wordprocessingShape">
                  <wps:wsp>
                    <wps:cNvSpPr/>
                    <wps:spPr>
                      <a:xfrm>
                        <a:off x="0" y="0"/>
                        <a:ext cx="7915320" cy="8859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5.45pt;width:623.2pt;height:69.7pt;mso-wrap-style:none;v-text-anchor:middle;mso-position-horizontal-relative:page" wp14:anchorId="75D3FE07">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11">
          <wp:simplePos x="0" y="0"/>
          <wp:positionH relativeFrom="column">
            <wp:posOffset>-200025</wp:posOffset>
          </wp:positionH>
          <wp:positionV relativeFrom="paragraph">
            <wp:posOffset>-152400</wp:posOffset>
          </wp:positionV>
          <wp:extent cx="1714500" cy="413385"/>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714500" cy="41338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82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0061d1"/>
    <w:rPr>
      <w:rFonts w:ascii="Tahoma" w:hAnsi="Tahoma" w:cs="Tahoma"/>
      <w:sz w:val="16"/>
      <w:szCs w:val="16"/>
      <w:lang w:val="es-ES"/>
    </w:rPr>
  </w:style>
  <w:style w:type="character" w:styleId="Normaltextrun" w:customStyle="1">
    <w:name w:val="normaltextrun"/>
    <w:basedOn w:val="DefaultParagraphFont"/>
    <w:qFormat/>
    <w:rsid w:val="00320792"/>
    <w:rPr/>
  </w:style>
  <w:style w:type="character" w:styleId="Eop" w:customStyle="1">
    <w:name w:val="eop"/>
    <w:basedOn w:val="DefaultParagraphFont"/>
    <w:qFormat/>
    <w:rsid w:val="00320792"/>
    <w:rPr/>
  </w:style>
  <w:style w:type="character" w:styleId="UnresolvedMention">
    <w:name w:val="Unresolved Mention"/>
    <w:basedOn w:val="DefaultParagraphFont"/>
    <w:uiPriority w:val="99"/>
    <w:semiHidden/>
    <w:unhideWhenUsed/>
    <w:qFormat/>
    <w:rsid w:val="003b5694"/>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e82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e82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e82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0061d1"/>
    <w:pPr>
      <w:spacing w:lineRule="auto" w:line="240" w:before="0" w:after="0"/>
    </w:pPr>
    <w:rPr>
      <w:rFonts w:ascii="Tahoma" w:hAnsi="Tahoma" w:cs="Tahoma"/>
      <w:sz w:val="16"/>
      <w:szCs w:val="16"/>
    </w:rPr>
  </w:style>
  <w:style w:type="paragraph" w:styleId="Paragraph" w:customStyle="1">
    <w:name w:val="paragraph"/>
    <w:basedOn w:val="Normal"/>
    <w:qFormat/>
    <w:rsid w:val="00320792"/>
    <w:pPr>
      <w:spacing w:lineRule="auto" w:line="240" w:beforeAutospacing="1" w:afterAutospacing="1"/>
    </w:pPr>
    <w:rPr>
      <w:rFonts w:ascii="Times New Roman" w:hAnsi="Times New Roman" w:eastAsia="Times New Roman" w:cs="Times New Roman"/>
      <w:sz w:val="24"/>
      <w:szCs w:val="24"/>
      <w:lang w:eastAsia="es-ES"/>
    </w:rPr>
  </w:style>
  <w:style w:type="paragraph" w:styleId="Xmsonormal" w:customStyle="1">
    <w:name w:val="x_msonormal"/>
    <w:basedOn w:val="Normal"/>
    <w:qFormat/>
    <w:rsid w:val="00b02f25"/>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bd4ce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argentina.gob.ar/interior/migraciones/turistas" TargetMode="External"/><Relationship Id="rId4" Type="http://schemas.openxmlformats.org/officeDocument/2006/relationships/hyperlink" Target="http://www.tourmundial.mx/"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Relationship Id="rId12" Type="http://schemas.openxmlformats.org/officeDocument/2006/relationships/customXml" Target="../customXml/item2.xml"/><Relationship Id="rId13" Type="http://schemas.openxmlformats.org/officeDocument/2006/relationships/customXml" Target="../customXml/item3.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 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B546CD-0BEC-4286-B615-055693ACB3A5}"/>
</file>

<file path=customXml/itemProps2.xml><?xml version="1.0" encoding="utf-8"?>
<ds:datastoreItem xmlns:ds="http://schemas.openxmlformats.org/officeDocument/2006/customXml" ds:itemID="{EE3E6D71-D531-455B-AC44-25CAA3FE64E0}"/>
</file>

<file path=customXml/itemProps3.xml><?xml version="1.0" encoding="utf-8"?>
<ds:datastoreItem xmlns:ds="http://schemas.openxmlformats.org/officeDocument/2006/customXml" ds:itemID="{A2FB5ED9-BB7D-4D83-B441-6225386710EA}"/>
</file>

<file path=docProps/app.xml><?xml version="1.0" encoding="utf-8"?>
<Properties xmlns="http://schemas.openxmlformats.org/officeDocument/2006/extended-properties" xmlns:vt="http://schemas.openxmlformats.org/officeDocument/2006/docPropsVTypes">
  <Template>Normal</Template>
  <TotalTime>14</TotalTime>
  <Application>LibreOffice/7.3.5.2$Windows_X86_64 LibreOffice_project/184fe81b8c8c30d8b5082578aee2fed2ea847c01</Application>
  <AppVersion>15.0000</AppVersion>
  <Pages>5</Pages>
  <Words>2614</Words>
  <Characters>13297</Characters>
  <CharactersWithSpaces>15732</CharactersWithSpaces>
  <Paragraphs>208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2024-01-05T15:38:00Z</dcterms:created>
  <dc:creator>V2784160</dc:creator>
  <dc:description/>
  <dc:language>es-MX</dc:language>
  <cp:lastModifiedBy/>
  <cp:lastPrinted>2023-08-01T16:24:00Z</cp:lastPrinted>
  <dcterms:modified xsi:type="dcterms:W3CDTF">2024-11-11T14:32:13Z</dcterms:modified>
  <cp:revision>40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363403a94eacdedb14b1cab0aa140564201c29c0418a22c2decf931c211fe895</vt:lpwstr>
  </property>
  <property fmtid="{D5CDD505-2E9C-101B-9397-08002B2CF9AE}" pid="4" name="MediaServiceImageTags">
    <vt:lpwstr/>
  </property>
</Properties>
</file>