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24" w:type="dxa"/>
        <w:jc w:val="center"/>
        <w:tblInd w:w="0" w:type="dxa"/>
        <w:tblLayout w:type="fixed"/>
        <w:tblCellMar>
          <w:top w:w="0" w:type="dxa"/>
          <w:left w:w="108" w:type="dxa"/>
          <w:bottom w:w="0" w:type="dxa"/>
          <w:right w:w="108" w:type="dxa"/>
        </w:tblCellMar>
      </w:tblPr>
      <w:tblGrid>
        <w:gridCol w:w="9824"/>
      </w:tblGrid>
      <w:tr>
        <w:trPr>
          <w:trHeight w:val="386" w:hRule="atLeast"/>
        </w:trPr>
        <w:tc>
          <w:tcPr>
            <w:tcW w:w="9824" w:type="dxa"/>
            <w:tcBorders>
              <w:top w:val="single" w:sz="8" w:space="0" w:color="FFFFFF"/>
              <w:left w:val="single" w:sz="8" w:space="0" w:color="FFFFFF"/>
              <w:bottom w:val="single" w:sz="12" w:space="0" w:color="F79646"/>
              <w:right w:val="single" w:sz="8" w:space="0" w:color="FFFFFF"/>
            </w:tcBorders>
          </w:tcPr>
          <w:p>
            <w:pPr>
              <w:pStyle w:val="NoSpacing"/>
              <w:widowControl w:val="false"/>
              <w:suppressAutoHyphens w:val="true"/>
              <w:spacing w:before="0" w:after="0"/>
              <w:jc w:val="right"/>
              <w:rPr>
                <w:rFonts w:ascii="Arial" w:hAnsi="Arial" w:cs="Arial"/>
                <w:b/>
                <w:b/>
                <w:bCs/>
                <w:color w:val="E36C0A"/>
                <w:kern w:val="0"/>
                <w:sz w:val="40"/>
                <w:szCs w:val="40"/>
                <w:lang w:val="es-MX" w:eastAsia="es-ES" w:bidi="ar-SA"/>
              </w:rPr>
            </w:pPr>
            <w:r>
              <w:rPr>
                <w:rFonts w:cs="Arial" w:ascii="Arial" w:hAnsi="Arial"/>
                <w:b/>
                <w:bCs/>
                <w:color w:val="E36C0A"/>
                <w:kern w:val="0"/>
                <w:sz w:val="40"/>
                <w:szCs w:val="40"/>
                <w:lang w:val="es-MX" w:eastAsia="es-ES" w:bidi="ar-SA"/>
              </w:rPr>
              <w:t>DESCUBRE OTTAWA INVERNAL</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W w:w="9826" w:type="dxa"/>
        <w:jc w:val="center"/>
        <w:tblInd w:w="0" w:type="dxa"/>
        <w:tblLayout w:type="fixed"/>
        <w:tblCellMar>
          <w:top w:w="0" w:type="dxa"/>
          <w:left w:w="70" w:type="dxa"/>
          <w:bottom w:w="0" w:type="dxa"/>
          <w:right w:w="70" w:type="dxa"/>
        </w:tblCellMar>
      </w:tblPr>
      <w:tblGrid>
        <w:gridCol w:w="1468"/>
        <w:gridCol w:w="8357"/>
      </w:tblGrid>
      <w:tr>
        <w:trPr>
          <w:trHeight w:val="255" w:hRule="atLeast"/>
        </w:trPr>
        <w:tc>
          <w:tcPr>
            <w:tcW w:w="1468" w:type="dxa"/>
            <w:tcBorders>
              <w:top w:val="single" w:sz="4" w:space="0" w:color="E36C0A"/>
              <w:left w:val="single" w:sz="4" w:space="0" w:color="C65911"/>
            </w:tcBorders>
            <w:shd w:fill="FDE9D9" w:val="clea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Visitando:</w:t>
            </w:r>
          </w:p>
        </w:tc>
        <w:tc>
          <w:tcPr>
            <w:tcW w:w="8357" w:type="dxa"/>
            <w:tcBorders>
              <w:top w:val="single" w:sz="4" w:space="0" w:color="E36C0A"/>
              <w:right w:val="single" w:sz="4" w:space="0" w:color="C65911"/>
            </w:tcBorders>
            <w:shd w:fill="FDE9D9" w:val="clear"/>
            <w:vAlign w:val="center"/>
          </w:tcPr>
          <w:p>
            <w:pPr>
              <w:pStyle w:val="Normal"/>
              <w:widowControl w:val="false"/>
              <w:spacing w:lineRule="auto" w:line="240" w:before="0" w:after="0"/>
              <w:rPr>
                <w:rFonts w:ascii="Arial" w:hAnsi="Arial" w:cs="Arial"/>
                <w:b/>
                <w:b/>
                <w:bCs/>
                <w:sz w:val="18"/>
                <w:szCs w:val="18"/>
              </w:rPr>
            </w:pPr>
            <w:r>
              <w:rPr>
                <w:rFonts w:cs="Arial" w:ascii="Arial" w:hAnsi="Arial"/>
                <w:b/>
                <w:bCs/>
                <w:sz w:val="18"/>
                <w:szCs w:val="18"/>
              </w:rPr>
              <w:t>Montreal – Ottawa – Montreal</w:t>
            </w:r>
          </w:p>
        </w:tc>
      </w:tr>
      <w:tr>
        <w:trPr>
          <w:trHeight w:val="255" w:hRule="atLeast"/>
        </w:trPr>
        <w:tc>
          <w:tcPr>
            <w:tcW w:w="1468" w:type="dxa"/>
            <w:tcBorders>
              <w:left w:val="single" w:sz="4" w:space="0" w:color="C65911"/>
            </w:tcBorders>
            <w:shd w:fill="FDE9D9" w:val="clea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Salidas:</w:t>
            </w:r>
          </w:p>
        </w:tc>
        <w:tc>
          <w:tcPr>
            <w:tcW w:w="8357" w:type="dxa"/>
            <w:tcBorders>
              <w:bottom w:val="single" w:sz="4" w:space="0" w:color="FDE9D9"/>
              <w:right w:val="single" w:sz="4" w:space="0" w:color="C65911"/>
            </w:tcBorders>
            <w:shd w:fill="FDE9D9" w:val="clear"/>
            <w:vAlign w:val="center"/>
          </w:tcPr>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w:t>
            </w:r>
            <w:r>
              <w:rPr>
                <w:rFonts w:eastAsia="Times New Roman" w:cs="Arial" w:ascii="Arial" w:hAnsi="Arial"/>
                <w:b/>
                <w:bCs/>
                <w:color w:val="000000"/>
                <w:sz w:val="18"/>
                <w:szCs w:val="18"/>
                <w:lang w:val="es-MX" w:eastAsia="es-ES"/>
              </w:rPr>
              <w:t>01 de noviembre , 2024 al 19 de abril , 2025</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**Operación mínima con 02 personas viajando juntas</w:t>
            </w:r>
          </w:p>
        </w:tc>
      </w:tr>
      <w:tr>
        <w:trPr>
          <w:trHeight w:val="255" w:hRule="atLeast"/>
        </w:trPr>
        <w:tc>
          <w:tcPr>
            <w:tcW w:w="1468" w:type="dxa"/>
            <w:tcBorders>
              <w:left w:val="single" w:sz="4" w:space="0" w:color="C65911"/>
            </w:tcBorders>
            <w:shd w:fill="FDE9D9" w:val="clear"/>
            <w:vAlign w:val="cente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Duración:</w:t>
            </w:r>
          </w:p>
        </w:tc>
        <w:tc>
          <w:tcPr>
            <w:tcW w:w="8357" w:type="dxa"/>
            <w:tcBorders>
              <w:top w:val="single" w:sz="4" w:space="0" w:color="FDE9D9"/>
              <w:right w:val="single" w:sz="4" w:space="0" w:color="C65911"/>
            </w:tcBorders>
            <w:shd w:fill="FDE9D9" w:val="clear"/>
            <w:vAlign w:val="center"/>
          </w:tcPr>
          <w:p>
            <w:pPr>
              <w:pStyle w:val="Normal"/>
              <w:widowControl w:val="false"/>
              <w:spacing w:lineRule="auto" w:line="240" w:before="0" w:after="0"/>
              <w:rPr/>
            </w:pPr>
            <w:r>
              <w:rPr>
                <w:rFonts w:eastAsia="Times New Roman" w:cs="Arial" w:ascii="Arial" w:hAnsi="Arial"/>
                <w:b/>
                <w:bCs/>
                <w:sz w:val="18"/>
                <w:szCs w:val="18"/>
                <w:lang w:val="es-MX" w:eastAsia="es-MX"/>
              </w:rPr>
              <w:t>06 días / 05 noches</w:t>
            </w:r>
          </w:p>
        </w:tc>
      </w:tr>
      <w:tr>
        <w:trPr>
          <w:trHeight w:val="255" w:hRule="atLeast"/>
        </w:trPr>
        <w:tc>
          <w:tcPr>
            <w:tcW w:w="1468" w:type="dxa"/>
            <w:tcBorders>
              <w:left w:val="single" w:sz="4" w:space="0" w:color="C65911"/>
              <w:bottom w:val="single" w:sz="4" w:space="0" w:color="E36C0A"/>
            </w:tcBorders>
            <w:shd w:fill="FDE9D9" w:val="clear"/>
            <w:vAlign w:val="cente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Alimentos:</w:t>
            </w:r>
          </w:p>
        </w:tc>
        <w:tc>
          <w:tcPr>
            <w:tcW w:w="8357" w:type="dxa"/>
            <w:tcBorders>
              <w:bottom w:val="single" w:sz="4" w:space="0" w:color="E36C0A"/>
              <w:right w:val="single" w:sz="4" w:space="0" w:color="C65911"/>
            </w:tcBorders>
            <w:shd w:fill="FDE9D9"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05 Desayunos</w:t>
            </w:r>
          </w:p>
        </w:tc>
      </w:tr>
    </w:tbl>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drawing>
          <wp:anchor behindDoc="0" distT="0" distB="0" distL="0" distR="0" simplePos="0" locked="0" layoutInCell="0" allowOverlap="1" relativeHeight="8">
            <wp:simplePos x="0" y="0"/>
            <wp:positionH relativeFrom="column">
              <wp:posOffset>9525</wp:posOffset>
            </wp:positionH>
            <wp:positionV relativeFrom="paragraph">
              <wp:posOffset>38100</wp:posOffset>
            </wp:positionV>
            <wp:extent cx="6188710" cy="167703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6188710" cy="1677035"/>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t>ITINERARIO DE VIAJE:</w:t>
      </w:r>
    </w:p>
    <w:p>
      <w:pPr>
        <w:pStyle w:val="Normal"/>
        <w:spacing w:lineRule="auto" w:line="240" w:before="0" w:after="0"/>
        <w:jc w:val="both"/>
        <w:rPr>
          <w:rFonts w:ascii="Arial" w:hAnsi="Arial" w:eastAsia="Times New Roman" w:cs="Arial"/>
          <w:b/>
          <w:b/>
          <w:sz w:val="8"/>
          <w:szCs w:val="10"/>
          <w:lang w:val="es-ES_tradnl" w:eastAsia="es-ES"/>
        </w:rPr>
      </w:pPr>
      <w:r>
        <w:rPr>
          <w:rFonts w:eastAsia="Times New Roman" w:cs="Arial" w:ascii="Arial" w:hAnsi="Arial"/>
          <w:b/>
          <w:sz w:val="8"/>
          <w:szCs w:val="10"/>
          <w:lang w:val="es-ES_tradnl" w:eastAsia="es-ES"/>
        </w:rPr>
      </w:r>
    </w:p>
    <w:p>
      <w:pPr>
        <w:pStyle w:val="Normal"/>
        <w:spacing w:lineRule="auto" w:line="240" w:before="0" w:after="0"/>
        <w:jc w:val="both"/>
        <w:rPr/>
      </w:pPr>
      <w:r>
        <w:rPr>
          <w:rFonts w:eastAsia="Times New Roman" w:cs="Arial" w:ascii="Arial" w:hAnsi="Arial"/>
          <w:b/>
          <w:color w:val="E36C0A"/>
          <w:sz w:val="18"/>
          <w:szCs w:val="18"/>
          <w:lang w:val="es-ES_tradnl" w:eastAsia="es-ES"/>
        </w:rPr>
        <w:t>Día 1</w:t>
        <w:tab/>
        <w:t xml:space="preserve">Montreal   </w:t>
      </w:r>
    </w:p>
    <w:p>
      <w:pPr>
        <w:pStyle w:val="NormalWeb"/>
        <w:spacing w:before="0" w:after="0"/>
        <w:jc w:val="both"/>
        <w:textAlignment w:val="baseline"/>
        <w:rPr/>
      </w:pPr>
      <w:r>
        <w:rPr>
          <w:rFonts w:cs="Arial" w:ascii="Arial" w:hAnsi="Arial"/>
          <w:color w:val="000000"/>
          <w:sz w:val="18"/>
          <w:szCs w:val="18"/>
        </w:rPr>
        <w:t>Llegada al aeropuerto de Montreal. Bienvenida y traslado al hotel con chofer privado. Tiempo libre. Alojamiento en Montreal.</w:t>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r>
    </w:p>
    <w:p>
      <w:pPr>
        <w:pStyle w:val="Normal"/>
        <w:spacing w:lineRule="auto" w:line="240" w:before="0" w:after="0"/>
        <w:jc w:val="both"/>
        <w:rPr/>
      </w:pPr>
      <w:r>
        <w:rPr>
          <w:rFonts w:eastAsia="Times New Roman" w:cs="Arial" w:ascii="Arial" w:hAnsi="Arial"/>
          <w:b/>
          <w:color w:val="E36C0A"/>
          <w:sz w:val="18"/>
          <w:szCs w:val="18"/>
          <w:lang w:val="es-ES_tradnl" w:eastAsia="es-ES"/>
        </w:rPr>
        <w:t>Día 2</w:t>
        <w:tab/>
        <w:t xml:space="preserve">Montreal –  Ottawa </w:t>
      </w:r>
    </w:p>
    <w:p>
      <w:pPr>
        <w:pStyle w:val="NormalWeb"/>
        <w:spacing w:before="0" w:after="0"/>
        <w:jc w:val="both"/>
        <w:textAlignment w:val="baseline"/>
        <w:rPr/>
      </w:pPr>
      <w:r>
        <w:rPr>
          <w:rFonts w:cs="Arial" w:ascii="Arial" w:hAnsi="Arial"/>
          <w:b/>
          <w:bCs/>
          <w:i/>
          <w:iCs/>
          <w:color w:val="000000"/>
          <w:sz w:val="18"/>
          <w:szCs w:val="18"/>
          <w:u w:val="single"/>
        </w:rPr>
        <w:t>Desayuno</w:t>
      </w:r>
      <w:r>
        <w:rPr>
          <w:rFonts w:cs="Arial" w:ascii="Arial" w:hAnsi="Arial"/>
          <w:color w:val="000000"/>
          <w:sz w:val="18"/>
          <w:szCs w:val="18"/>
        </w:rPr>
        <w:t xml:space="preserve"> en el Hotel. Visita al antiguo Montreal, la Basílica de Notre-Dame </w:t>
      </w:r>
      <w:r>
        <w:rPr>
          <w:rFonts w:cs="Arial" w:ascii="Arial" w:hAnsi="Arial"/>
          <w:b/>
          <w:bCs/>
          <w:i w:val="false"/>
          <w:iCs w:val="false"/>
          <w:color w:val="000000"/>
          <w:sz w:val="18"/>
          <w:szCs w:val="18"/>
          <w:u w:val="none"/>
        </w:rPr>
        <w:t>(entrada no incluida)</w:t>
      </w:r>
      <w:r>
        <w:rPr>
          <w:rFonts w:cs="Arial" w:ascii="Arial" w:hAnsi="Arial"/>
          <w:color w:val="000000"/>
          <w:sz w:val="18"/>
          <w:szCs w:val="18"/>
        </w:rPr>
        <w:t>, la ciudad subterránea, el Boulevard San Laurent, la calle San-Denis y Mont-Royal. Salida en tren en dirección a la Ciudad de Ottawa, la capital de Canadá. Tiempo libre. Alojamiento en Ottawa.</w:t>
      </w:r>
    </w:p>
    <w:p>
      <w:pPr>
        <w:pStyle w:val="Normal"/>
        <w:spacing w:lineRule="auto" w:line="240" w:before="0" w:after="0"/>
        <w:jc w:val="both"/>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t>Nota: Tomar en consideración que el translado hotel- estación del tren- hotel  sera por cuenta del pasajero.</w:t>
      </w:r>
    </w:p>
    <w:p>
      <w:pPr>
        <w:pStyle w:val="Normal"/>
        <w:spacing w:lineRule="auto" w:line="240" w:before="0" w:after="0"/>
        <w:jc w:val="both"/>
        <w:rPr>
          <w:rFonts w:ascii="Arial" w:hAnsi="Arial" w:cs="Arial"/>
          <w:b/>
          <w:b/>
          <w:sz w:val="18"/>
          <w:szCs w:val="18"/>
        </w:rPr>
      </w:pPr>
      <w:r>
        <w:rPr>
          <w:rFonts w:cs="Arial" w:ascii="Arial" w:hAnsi="Arial"/>
          <w:b/>
          <w:sz w:val="18"/>
          <w:szCs w:val="18"/>
        </w:rPr>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t>Día 3</w:t>
        <w:tab/>
        <w:t xml:space="preserve">Ottawa </w:t>
      </w:r>
    </w:p>
    <w:p>
      <w:pPr>
        <w:pStyle w:val="NormalWeb"/>
        <w:spacing w:before="0" w:after="0"/>
        <w:jc w:val="both"/>
        <w:textAlignment w:val="baseline"/>
        <w:rPr>
          <w:i w:val="false"/>
          <w:i w:val="false"/>
          <w:iCs w:val="false"/>
        </w:rPr>
      </w:pPr>
      <w:r>
        <w:rPr>
          <w:rFonts w:cs="Arial" w:ascii="Arial" w:hAnsi="Arial"/>
          <w:b/>
          <w:bCs/>
          <w:i/>
          <w:iCs/>
          <w:color w:val="000000"/>
          <w:sz w:val="18"/>
          <w:szCs w:val="18"/>
          <w:u w:val="single"/>
        </w:rPr>
        <w:t>Desayuno</w:t>
      </w:r>
      <w:r>
        <w:rPr>
          <w:rFonts w:cs="Arial" w:ascii="Arial" w:hAnsi="Arial"/>
          <w:b w:val="false"/>
          <w:bCs w:val="false"/>
          <w:i w:val="false"/>
          <w:iCs w:val="false"/>
          <w:color w:val="000000"/>
          <w:sz w:val="18"/>
          <w:szCs w:val="18"/>
        </w:rPr>
        <w:t xml:space="preserve"> en el Hotel. Visita de la ciudad de Ottawa. Allí podrán apreciar el Parlamento de Canada, las residencias del Primer Ministro y el Gobernador General, así como otros edificios del Gobierno. Al final del paseo, puede visitar el Mercado de Byward. Tiempo libre. Alojamiento en Ottawa. </w:t>
      </w:r>
    </w:p>
    <w:p>
      <w:pPr>
        <w:pStyle w:val="NormalWeb"/>
        <w:spacing w:before="0" w:after="0"/>
        <w:jc w:val="both"/>
        <w:textAlignment w:val="baseline"/>
        <w:rPr>
          <w:i w:val="false"/>
          <w:i w:val="false"/>
          <w:iCs w:val="false"/>
        </w:rPr>
      </w:pPr>
      <w:r>
        <w:rPr>
          <w:rFonts w:cs="Arial" w:ascii="Arial" w:hAnsi="Arial"/>
          <w:b w:val="false"/>
          <w:bCs w:val="false"/>
          <w:i w:val="false"/>
          <w:iCs w:val="false"/>
          <w:color w:val="808080"/>
          <w:sz w:val="18"/>
          <w:szCs w:val="18"/>
        </w:rPr>
        <w:t xml:space="preserve"> </w:t>
      </w:r>
    </w:p>
    <w:p>
      <w:pPr>
        <w:pStyle w:val="NormalWeb"/>
        <w:spacing w:before="0" w:after="0"/>
        <w:jc w:val="both"/>
        <w:textAlignment w:val="baseline"/>
        <w:rPr>
          <w:b/>
          <w:b/>
          <w:bCs/>
          <w:i w:val="false"/>
          <w:i w:val="false"/>
          <w:iCs w:val="false"/>
          <w:color w:val="000000"/>
        </w:rPr>
      </w:pPr>
      <w:r>
        <w:rPr>
          <w:rFonts w:cs="Arial" w:ascii="Arial" w:hAnsi="Arial"/>
          <w:b/>
          <w:bCs/>
          <w:i w:val="false"/>
          <w:iCs w:val="false"/>
          <w:color w:val="000000"/>
          <w:sz w:val="18"/>
          <w:szCs w:val="18"/>
        </w:rPr>
        <w:t xml:space="preserve">Winterlude Festival (salidas 30 de enero, 6 y 13 de febrero de 2025) </w:t>
      </w:r>
    </w:p>
    <w:p>
      <w:pPr>
        <w:pStyle w:val="NormalWeb"/>
        <w:spacing w:before="0" w:after="0"/>
        <w:jc w:val="both"/>
        <w:textAlignment w:val="baseline"/>
        <w:rPr>
          <w:i w:val="false"/>
          <w:i w:val="false"/>
          <w:iCs w:val="false"/>
          <w:color w:val="000000"/>
        </w:rPr>
      </w:pPr>
      <w:r>
        <w:rPr>
          <w:rFonts w:cs="Arial" w:ascii="Arial" w:hAnsi="Arial"/>
          <w:b w:val="false"/>
          <w:bCs w:val="false"/>
          <w:i w:val="false"/>
          <w:iCs w:val="false"/>
          <w:color w:val="000000"/>
          <w:sz w:val="18"/>
          <w:szCs w:val="18"/>
        </w:rPr>
        <w:t>Este evento celebra la temporada de invierno y ofrece una variedad de actividades al aire libre, como patinaje sobre el Rideau Canal, que se convierte en la pista de patinaje más larga del mundo.</w:t>
      </w:r>
    </w:p>
    <w:p>
      <w:pPr>
        <w:pStyle w:val="NormalWeb"/>
        <w:spacing w:before="0" w:after="0"/>
        <w:jc w:val="both"/>
        <w:textAlignment w:val="baseline"/>
        <w:rPr>
          <w:i w:val="false"/>
          <w:i w:val="false"/>
          <w:iCs w:val="false"/>
          <w:color w:val="000000"/>
        </w:rPr>
      </w:pPr>
      <w:r>
        <w:rPr>
          <w:rFonts w:cs="Arial" w:ascii="Arial" w:hAnsi="Arial"/>
          <w:b w:val="false"/>
          <w:bCs w:val="false"/>
          <w:i w:val="false"/>
          <w:iCs w:val="false"/>
          <w:color w:val="000000"/>
          <w:sz w:val="18"/>
          <w:szCs w:val="18"/>
        </w:rPr>
        <w:t>Durante Winterlude, los visitantes pueden disfrutar de esculturas de hielo, competencias de patinaje y actividades familiares, además de deliciosas comidas típicas de invierno. El festival también incluye eventos culturales, como música y danza, que resaltan la diversidad de la comunidad. Es una celebración vibrante que atrae tanto a locales como a turistas, convirtiendo la ciudad en un destino invernal encantador.</w:t>
      </w:r>
    </w:p>
    <w:p>
      <w:pPr>
        <w:pStyle w:val="Normal"/>
        <w:spacing w:lineRule="auto" w:line="240" w:before="0" w:after="0"/>
        <w:jc w:val="both"/>
        <w:rPr>
          <w:rFonts w:ascii="Arial" w:hAnsi="Arial" w:cs="Arial"/>
          <w:color w:val="000000"/>
          <w:sz w:val="18"/>
          <w:szCs w:val="18"/>
        </w:rPr>
      </w:pPr>
      <w:r>
        <w:rPr>
          <w:rFonts w:cs="Arial" w:ascii="Arial" w:hAnsi="Arial"/>
          <w:color w:val="000000"/>
          <w:sz w:val="18"/>
          <w:szCs w:val="18"/>
        </w:rPr>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t xml:space="preserve">Día 4 </w:t>
        <w:tab/>
      </w:r>
      <w:r>
        <w:rPr>
          <w:rFonts w:eastAsia="Times New Roman" w:cs="Arial" w:ascii="Arial" w:hAnsi="Arial"/>
          <w:b/>
          <w:color w:val="E36C0A"/>
          <w:sz w:val="18"/>
          <w:szCs w:val="18"/>
          <w:lang w:val="es-ES_tradnl" w:eastAsia="es-ES"/>
        </w:rPr>
        <w:t>Ottawa</w:t>
      </w:r>
    </w:p>
    <w:p>
      <w:pPr>
        <w:pStyle w:val="NormalWeb"/>
        <w:spacing w:before="0" w:after="0"/>
        <w:jc w:val="both"/>
        <w:textAlignment w:val="baseline"/>
        <w:rPr/>
      </w:pPr>
      <w:r>
        <w:rPr>
          <w:rFonts w:eastAsia="Times New Roman" w:cs="" w:ascii="Arial" w:hAnsi="Arial" w:cstheme="minorHAnsi"/>
          <w:b/>
          <w:bCs/>
          <w:i/>
          <w:iCs/>
          <w:color w:val="000000"/>
          <w:sz w:val="18"/>
          <w:szCs w:val="18"/>
          <w:u w:val="single"/>
          <w:lang w:val="es-PE" w:eastAsia="fr-CA"/>
        </w:rPr>
        <w:t xml:space="preserve">Desayuno </w:t>
      </w:r>
      <w:r>
        <w:rPr>
          <w:rFonts w:eastAsia="Times New Roman" w:cs="" w:ascii="Arial" w:hAnsi="Arial" w:cstheme="minorHAnsi"/>
          <w:color w:val="000000"/>
          <w:sz w:val="18"/>
          <w:szCs w:val="18"/>
          <w:lang w:val="es-PE" w:eastAsia="fr-CA"/>
        </w:rPr>
        <w:t xml:space="preserve">en el Hotel. </w:t>
      </w:r>
      <w:r>
        <w:rPr>
          <w:rFonts w:eastAsia="Times New Roman" w:cs="" w:ascii="Arial" w:hAnsi="Arial" w:cstheme="minorHAnsi"/>
          <w:b w:val="false"/>
          <w:bCs w:val="false"/>
          <w:color w:val="000000"/>
          <w:sz w:val="18"/>
          <w:szCs w:val="18"/>
          <w:lang w:val="es-PE" w:eastAsia="fr-CA"/>
        </w:rPr>
        <w:t>Hoy visitaremos el museo de la guerra: Sumérgete en la rica historia militar de Canadá a través de artefactos, historias personales, obras de arte, fotos y exhibiciones interactivas. Este impresionante museo también es conocido por su arquitectura simbólica. Contempla artefactos que invitan a la reflexión, como el desfile blindado de Mercedes-Benz de Hitler, un pequeño osito de peluche que una niña envió a su padre soldado durante la Primera Guerra Mundial y la levita escarlata de Sir Isaac Brock que muestra el agujero dejado por la bala que lo mató en la batalla de Queenston Heights. Continuamos con el museo de historia: Situado a orillas del río, en un pintoresco edificio diseñado por el arquitecto indígena Douglas Cardinal, el Museo es uno de los más populares de Canadá. Cuenta la historia de 15.000 años de historia social y humana, presentando al público cautivadoras historias personales, culturas, historias y logros, y exposiciones internacionales que invitan a la reflexión</w:t>
      </w:r>
    </w:p>
    <w:p>
      <w:pPr>
        <w:pStyle w:val="NormalWeb"/>
        <w:spacing w:before="0" w:after="0"/>
        <w:jc w:val="both"/>
        <w:textAlignment w:val="baseline"/>
        <w:rPr>
          <w:rFonts w:ascii="Arial" w:hAnsi="Arial" w:eastAsia="Times New Roman" w:cs="Arial"/>
          <w:color w:val="000000"/>
          <w:sz w:val="18"/>
          <w:szCs w:val="18"/>
          <w:lang w:val="es-PE" w:eastAsia="fr-CA"/>
        </w:rPr>
      </w:pPr>
      <w:r>
        <w:rPr>
          <w:rFonts w:eastAsia="Times New Roman" w:cs="Arial" w:ascii="Arial" w:hAnsi="Arial"/>
          <w:color w:val="000000"/>
          <w:sz w:val="18"/>
          <w:szCs w:val="18"/>
          <w:lang w:val="es-PE" w:eastAsia="fr-CA"/>
        </w:rPr>
      </w:r>
    </w:p>
    <w:p>
      <w:pPr>
        <w:pStyle w:val="Normal"/>
        <w:spacing w:lineRule="auto" w:line="240" w:before="0" w:after="0"/>
        <w:jc w:val="both"/>
        <w:rPr/>
      </w:pPr>
      <w:r>
        <w:rPr>
          <w:rFonts w:eastAsia="Times New Roman" w:cs="Arial" w:ascii="Arial" w:hAnsi="Arial"/>
          <w:b/>
          <w:color w:val="E36C0A"/>
          <w:sz w:val="18"/>
          <w:szCs w:val="18"/>
          <w:lang w:val="es-ES_tradnl" w:eastAsia="es-ES"/>
        </w:rPr>
        <w:t>Día 5</w:t>
        <w:tab/>
        <w:t xml:space="preserve"> Ottawa - Montreal</w:t>
      </w:r>
    </w:p>
    <w:p>
      <w:pPr>
        <w:pStyle w:val="NormalWeb"/>
        <w:spacing w:before="0" w:after="0"/>
        <w:jc w:val="both"/>
        <w:textAlignment w:val="baseline"/>
        <w:rPr/>
      </w:pPr>
      <w:r>
        <w:rPr>
          <w:rFonts w:cs="Arial" w:ascii="Arial" w:hAnsi="Arial"/>
          <w:b/>
          <w:bCs/>
          <w:i/>
          <w:iCs/>
          <w:color w:val="000000"/>
          <w:sz w:val="18"/>
          <w:szCs w:val="18"/>
          <w:u w:val="single"/>
        </w:rPr>
        <w:t xml:space="preserve">Desayuno </w:t>
      </w:r>
      <w:r>
        <w:rPr>
          <w:rFonts w:cs="Arial" w:ascii="Arial" w:hAnsi="Arial"/>
          <w:color w:val="000000"/>
          <w:sz w:val="18"/>
          <w:szCs w:val="18"/>
        </w:rPr>
        <w:t>en el Hotel. Salida en tren para Montreal, la segunda Ciudad principal de habla francesa después de Paris. Tiempo libre. Alojamiento en Montreal.</w:t>
      </w:r>
    </w:p>
    <w:p>
      <w:pPr>
        <w:pStyle w:val="Normal"/>
        <w:spacing w:lineRule="auto" w:line="240" w:before="0" w:after="0"/>
        <w:jc w:val="both"/>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t>Nota: Tomar en consideración que el traslado hotel- estación del tren- hotel  ser</w:t>
      </w:r>
      <w:r>
        <w:rPr>
          <w:rFonts w:cs="Arial" w:ascii="Arial" w:hAnsi="Arial"/>
          <w:b w:val="false"/>
          <w:bCs w:val="false"/>
          <w:i/>
          <w:iCs/>
          <w:color w:val="808080"/>
          <w:sz w:val="18"/>
          <w:szCs w:val="18"/>
        </w:rPr>
        <w:t>á</w:t>
      </w:r>
      <w:r>
        <w:rPr>
          <w:rFonts w:cs="Arial" w:ascii="Arial" w:hAnsi="Arial"/>
          <w:b w:val="false"/>
          <w:bCs w:val="false"/>
          <w:i/>
          <w:iCs/>
          <w:color w:val="808080"/>
          <w:sz w:val="18"/>
          <w:szCs w:val="18"/>
        </w:rPr>
        <w:t xml:space="preserve"> por cuenta del pasajero.</w:t>
      </w:r>
    </w:p>
    <w:p>
      <w:pPr>
        <w:pStyle w:val="NormalWeb"/>
        <w:spacing w:before="0" w:after="0"/>
        <w:jc w:val="both"/>
        <w:textAlignment w:val="baseline"/>
        <w:rPr>
          <w:rFonts w:ascii="Arial" w:hAnsi="Arial" w:cs="Arial"/>
          <w:i/>
          <w:i/>
          <w:iCs/>
          <w:color w:val="595959"/>
          <w:sz w:val="18"/>
          <w:szCs w:val="18"/>
        </w:rPr>
      </w:pPr>
      <w:r>
        <w:rPr>
          <w:rFonts w:cs="Arial" w:ascii="Arial" w:hAnsi="Arial"/>
          <w:i/>
          <w:iCs/>
          <w:color w:val="595959"/>
          <w:sz w:val="18"/>
          <w:szCs w:val="18"/>
        </w:rPr>
      </w:r>
    </w:p>
    <w:p>
      <w:pPr>
        <w:pStyle w:val="Normal"/>
        <w:spacing w:lineRule="auto" w:line="240" w:before="0" w:after="0"/>
        <w:jc w:val="both"/>
        <w:rPr/>
      </w:pPr>
      <w:r>
        <w:rPr>
          <w:rFonts w:eastAsia="Times New Roman" w:cs="Arial" w:ascii="Arial" w:hAnsi="Arial"/>
          <w:b/>
          <w:color w:val="E36C0A"/>
          <w:sz w:val="18"/>
          <w:szCs w:val="18"/>
          <w:lang w:val="es-ES_tradnl" w:eastAsia="es-ES"/>
        </w:rPr>
        <w:t>Día 6</w:t>
        <w:tab/>
        <w:t xml:space="preserve"> Montreal </w:t>
      </w:r>
    </w:p>
    <w:p>
      <w:pPr>
        <w:pStyle w:val="NormalWeb"/>
        <w:spacing w:before="0" w:after="75"/>
        <w:jc w:val="both"/>
        <w:textAlignment w:val="baseline"/>
        <w:rPr>
          <w:rFonts w:ascii="Arial" w:hAnsi="Arial" w:cs="Arial"/>
          <w:color w:val="000000"/>
          <w:sz w:val="18"/>
          <w:szCs w:val="18"/>
        </w:rPr>
      </w:pPr>
      <w:r>
        <w:rPr>
          <w:rFonts w:cs="Arial" w:ascii="Arial" w:hAnsi="Arial"/>
          <w:b/>
          <w:bCs/>
          <w:i/>
          <w:iCs/>
          <w:color w:val="000000"/>
          <w:sz w:val="18"/>
          <w:szCs w:val="18"/>
          <w:u w:val="single"/>
        </w:rPr>
        <w:t>Desayuno</w:t>
      </w:r>
      <w:r>
        <w:rPr>
          <w:rFonts w:cs="Arial" w:ascii="Arial" w:hAnsi="Arial"/>
          <w:color w:val="000000"/>
          <w:sz w:val="18"/>
          <w:szCs w:val="18"/>
        </w:rPr>
        <w:t xml:space="preserve"> en el Hotel. Tiempo libre. Traslado al Aeropuerto dependiendo de los horarios de vuelos.</w:t>
      </w:r>
    </w:p>
    <w:p>
      <w:pPr>
        <w:pStyle w:val="NormalWeb"/>
        <w:spacing w:before="0" w:after="0"/>
        <w:jc w:val="both"/>
        <w:textAlignment w:val="baseline"/>
        <w:rPr>
          <w:rFonts w:ascii="Arial" w:hAnsi="Arial" w:cs="Arial"/>
          <w:color w:val="000000"/>
          <w:sz w:val="18"/>
          <w:szCs w:val="18"/>
        </w:rPr>
      </w:pPr>
      <w:r>
        <w:rPr>
          <w:rFonts w:cs="Arial" w:ascii="Arial" w:hAnsi="Arial"/>
          <w:color w:val="000000"/>
          <w:sz w:val="18"/>
          <w:szCs w:val="18"/>
        </w:rPr>
      </w:r>
    </w:p>
    <w:p>
      <w:pPr>
        <w:pStyle w:val="Normal"/>
        <w:spacing w:lineRule="auto" w:line="240" w:before="0" w:after="0"/>
        <w:jc w:val="right"/>
        <w:rPr/>
      </w:pPr>
      <w:r>
        <w:rPr>
          <w:rFonts w:eastAsia="Times New Roman" w:cs="Arial" w:ascii="Arial" w:hAnsi="Arial"/>
          <w:b/>
          <w:color w:val="E36C0A"/>
          <w:sz w:val="18"/>
          <w:szCs w:val="18"/>
          <w:lang w:val="es-ES_tradnl" w:eastAsia="es-ES"/>
        </w:rPr>
        <w:t>FIN DE LOS SERVICIOSERVICIOS.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tbl>
      <w:tblPr>
        <w:tblW w:w="7223" w:type="dxa"/>
        <w:jc w:val="left"/>
        <w:tblInd w:w="1254" w:type="dxa"/>
        <w:tblLayout w:type="fixed"/>
        <w:tblCellMar>
          <w:top w:w="0" w:type="dxa"/>
          <w:left w:w="30" w:type="dxa"/>
          <w:bottom w:w="0" w:type="dxa"/>
          <w:right w:w="30" w:type="dxa"/>
        </w:tblCellMar>
      </w:tblPr>
      <w:tblGrid>
        <w:gridCol w:w="1243"/>
        <w:gridCol w:w="3652"/>
        <w:gridCol w:w="2328"/>
      </w:tblGrid>
      <w:tr>
        <w:trPr>
          <w:trHeight w:val="290" w:hRule="atLeast"/>
        </w:trPr>
        <w:tc>
          <w:tcPr>
            <w:tcW w:w="1243"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cs="Arial" w:ascii="Arial" w:hAnsi="Arial"/>
                <w:b/>
                <w:bCs/>
                <w:i w:val="false"/>
                <w:iCs w:val="false"/>
                <w:color w:val="FFFFFF"/>
                <w:sz w:val="18"/>
                <w:szCs w:val="18"/>
              </w:rPr>
              <w:t>CIUDAD</w:t>
            </w:r>
          </w:p>
        </w:tc>
        <w:tc>
          <w:tcPr>
            <w:tcW w:w="3652"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ascii="Arial" w:hAnsi="Arial"/>
                <w:b/>
                <w:bCs/>
                <w:i w:val="false"/>
                <w:iCs w:val="false"/>
                <w:color w:val="FFFFFF"/>
                <w:sz w:val="18"/>
              </w:rPr>
              <w:t>HOTELES</w:t>
            </w:r>
          </w:p>
        </w:tc>
        <w:tc>
          <w:tcPr>
            <w:tcW w:w="2328"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ascii="Arial" w:hAnsi="Arial"/>
                <w:b/>
                <w:bCs/>
                <w:i w:val="false"/>
                <w:iCs w:val="false"/>
                <w:color w:val="FFFFFF"/>
                <w:sz w:val="18"/>
              </w:rPr>
              <w:t>CATEGORÍA</w:t>
            </w:r>
          </w:p>
        </w:tc>
      </w:tr>
      <w:tr>
        <w:trPr>
          <w:trHeight w:val="290" w:hRule="atLeast"/>
        </w:trPr>
        <w:tc>
          <w:tcPr>
            <w:tcW w:w="1243" w:type="dxa"/>
            <w:vMerge w:val="restart"/>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Montreal</w:t>
            </w:r>
          </w:p>
        </w:tc>
        <w:tc>
          <w:tcPr>
            <w:tcW w:w="3652"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Cantlie Suites</w:t>
            </w:r>
          </w:p>
        </w:tc>
        <w:tc>
          <w:tcPr>
            <w:tcW w:w="2328"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Turista Superior</w:t>
            </w:r>
          </w:p>
        </w:tc>
      </w:tr>
      <w:tr>
        <w:trPr>
          <w:trHeight w:val="290" w:hRule="atLeast"/>
        </w:trPr>
        <w:tc>
          <w:tcPr>
            <w:tcW w:w="1243" w:type="dxa"/>
            <w:vMerge w:val="continue"/>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rFonts w:ascii="Arial" w:hAnsi="Arial"/>
                <w:color w:val="000000"/>
                <w:sz w:val="18"/>
              </w:rPr>
            </w:pPr>
            <w:r>
              <w:rPr>
                <w:rFonts w:ascii="Arial" w:hAnsi="Arial"/>
                <w:color w:val="000000"/>
                <w:sz w:val="18"/>
              </w:rPr>
            </w:r>
          </w:p>
        </w:tc>
        <w:tc>
          <w:tcPr>
            <w:tcW w:w="3652"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Germain Hotel</w:t>
            </w:r>
          </w:p>
        </w:tc>
        <w:tc>
          <w:tcPr>
            <w:tcW w:w="2328"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Primera</w:t>
            </w:r>
          </w:p>
        </w:tc>
      </w:tr>
      <w:tr>
        <w:trPr>
          <w:trHeight w:val="290" w:hRule="atLeast"/>
        </w:trPr>
        <w:tc>
          <w:tcPr>
            <w:tcW w:w="1243" w:type="dxa"/>
            <w:vMerge w:val="restart"/>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Ottawa</w:t>
            </w:r>
          </w:p>
        </w:tc>
        <w:tc>
          <w:tcPr>
            <w:tcW w:w="3652"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Embassy Hotel &amp; Suites</w:t>
            </w:r>
          </w:p>
        </w:tc>
        <w:tc>
          <w:tcPr>
            <w:tcW w:w="2328"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Turista Superior</w:t>
            </w:r>
          </w:p>
        </w:tc>
      </w:tr>
      <w:tr>
        <w:trPr>
          <w:trHeight w:val="290" w:hRule="atLeast"/>
        </w:trPr>
        <w:tc>
          <w:tcPr>
            <w:tcW w:w="1243" w:type="dxa"/>
            <w:vMerge w:val="continue"/>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rFonts w:ascii="Arial" w:hAnsi="Arial"/>
                <w:color w:val="000000"/>
                <w:sz w:val="18"/>
              </w:rPr>
            </w:pPr>
            <w:r>
              <w:rPr>
                <w:rFonts w:ascii="Arial" w:hAnsi="Arial"/>
                <w:color w:val="000000"/>
                <w:sz w:val="18"/>
              </w:rPr>
            </w:r>
          </w:p>
        </w:tc>
        <w:tc>
          <w:tcPr>
            <w:tcW w:w="3652"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Germain Hotel</w:t>
            </w:r>
          </w:p>
        </w:tc>
        <w:tc>
          <w:tcPr>
            <w:tcW w:w="2328"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Primera</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rPr/>
      </w:pPr>
      <w:r>
        <w:rPr>
          <w:rFonts w:eastAsia="Times New Roman" w:cs="Arial" w:ascii="Arial" w:hAnsi="Arial"/>
          <w:b/>
          <w:color w:val="E36C0A"/>
          <w:sz w:val="18"/>
          <w:szCs w:val="18"/>
          <w:u w:val="single"/>
          <w:lang w:val="es-MX" w:eastAsia="es-ES"/>
        </w:rPr>
        <w:t>PRECIOS POR</w:t>
      </w:r>
      <w:r>
        <w:rPr>
          <w:rFonts w:eastAsia="Times New Roman" w:cs="Arial" w:ascii="Proxima Nova Alt Lt" w:hAnsi="Proxima Nova Alt Lt"/>
          <w:b/>
          <w:color w:val="E36C0A"/>
          <w:sz w:val="18"/>
          <w:szCs w:val="18"/>
          <w:u w:val="single"/>
          <w:lang w:val="es-MX" w:eastAsia="es-ES"/>
        </w:rPr>
        <w:t xml:space="preserve"> </w:t>
      </w:r>
      <w:r>
        <w:rPr>
          <w:rFonts w:eastAsia="Times New Roman" w:cs="Arial" w:ascii="Arial" w:hAnsi="Arial"/>
          <w:b/>
          <w:color w:val="E36C0A"/>
          <w:sz w:val="18"/>
          <w:szCs w:val="18"/>
          <w:u w:val="single"/>
          <w:lang w:val="es-MX" w:eastAsia="es-ES"/>
        </w:rPr>
        <w:t>PERSONA EN USD:</w:t>
      </w:r>
    </w:p>
    <w:p>
      <w:pPr>
        <w:pStyle w:val="Normal"/>
        <w:spacing w:lineRule="auto" w:line="240" w:before="0" w:after="0"/>
        <w:rPr>
          <w:rFonts w:ascii="Arial" w:hAnsi="Arial" w:eastAsia="Times New Roman" w:cs="Arial"/>
          <w:b/>
          <w:b/>
          <w:color w:val="E36C0A"/>
          <w:sz w:val="18"/>
          <w:szCs w:val="18"/>
          <w:u w:val="single"/>
          <w:lang w:val="es-MX" w:eastAsia="es-ES"/>
        </w:rPr>
      </w:pPr>
      <w:r>
        <w:rPr>
          <w:rFonts w:eastAsia="Times New Roman" w:cs="Arial" w:ascii="Arial" w:hAnsi="Arial"/>
          <w:b/>
          <w:color w:val="E36C0A"/>
          <w:sz w:val="18"/>
          <w:szCs w:val="18"/>
          <w:u w:val="single"/>
          <w:lang w:val="es-MX" w:eastAsia="es-ES"/>
        </w:rPr>
      </w:r>
    </w:p>
    <w:tbl>
      <w:tblPr>
        <w:tblW w:w="9466" w:type="dxa"/>
        <w:jc w:val="center"/>
        <w:tblInd w:w="0" w:type="dxa"/>
        <w:tblLayout w:type="fixed"/>
        <w:tblCellMar>
          <w:top w:w="0" w:type="dxa"/>
          <w:left w:w="70" w:type="dxa"/>
          <w:bottom w:w="0" w:type="dxa"/>
          <w:right w:w="70" w:type="dxa"/>
        </w:tblCellMar>
      </w:tblPr>
      <w:tblGrid>
        <w:gridCol w:w="2364"/>
        <w:gridCol w:w="2181"/>
        <w:gridCol w:w="2908"/>
        <w:gridCol w:w="2012"/>
      </w:tblGrid>
      <w:tr>
        <w:trPr>
          <w:trHeight w:val="340" w:hRule="atLeast"/>
        </w:trPr>
        <w:tc>
          <w:tcPr>
            <w:tcW w:w="2364" w:type="dxa"/>
            <w:tcBorders>
              <w:top w:val="single" w:sz="4" w:space="0" w:color="E26B0A"/>
              <w:left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DIARIAS</w:t>
            </w:r>
          </w:p>
        </w:tc>
        <w:tc>
          <w:tcPr>
            <w:tcW w:w="2181"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908"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2012"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r>
      <w:tr>
        <w:trPr>
          <w:trHeight w:val="669" w:hRule="atLeast"/>
        </w:trPr>
        <w:tc>
          <w:tcPr>
            <w:tcW w:w="2364" w:type="dxa"/>
            <w:vMerge w:val="restart"/>
            <w:tcBorders>
              <w:top w:val="single" w:sz="4" w:space="0" w:color="E26B0A"/>
              <w:left w:val="single" w:sz="4" w:space="0" w:color="E26B0A"/>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color w:val="000000"/>
              </w:rPr>
            </w:pPr>
            <w:r>
              <w:rPr>
                <w:rFonts w:eastAsia="Times New Roman" w:cs="Arial" w:ascii="Arial" w:hAnsi="Arial"/>
                <w:b/>
                <w:bCs/>
                <w:color w:val="000000"/>
                <w:sz w:val="18"/>
                <w:szCs w:val="18"/>
                <w:lang w:eastAsia="es-ES"/>
              </w:rPr>
              <w:t>01 de noviembre , 2024 – 19 de abril , 2025</w:t>
            </w:r>
          </w:p>
        </w:tc>
        <w:tc>
          <w:tcPr>
            <w:tcW w:w="2181" w:type="dxa"/>
            <w:tcBorders>
              <w:bottom w:val="single" w:sz="4" w:space="0" w:color="E26B0A"/>
              <w:right w:val="single" w:sz="4" w:space="0" w:color="E26B0A"/>
            </w:tcBorders>
            <w:shd w:fill="FFFFFF" w:val="clear"/>
            <w:vAlign w:val="center"/>
          </w:tcPr>
          <w:p>
            <w:pPr>
              <w:pStyle w:val="Normal"/>
              <w:widowControl w:val="false"/>
              <w:tabs>
                <w:tab w:val="clear" w:pos="708"/>
              </w:tabs>
              <w:spacing w:lineRule="auto" w:line="240" w:before="0" w:after="200"/>
              <w:jc w:val="center"/>
              <w:rPr>
                <w:rFonts w:ascii="Arial" w:hAnsi="Arial" w:eastAsia="Times New Roman" w:cs="Arial"/>
                <w:sz w:val="18"/>
                <w:szCs w:val="18"/>
                <w:lang w:eastAsia="es-ES"/>
              </w:rPr>
            </w:pPr>
            <w:r>
              <w:rPr>
                <w:rFonts w:eastAsia="Times New Roman" w:cs="Arial" w:ascii="Arial" w:hAnsi="Arial"/>
                <w:color w:val="000000"/>
                <w:sz w:val="18"/>
                <w:szCs w:val="18"/>
                <w:lang w:eastAsia="es-ES"/>
              </w:rPr>
              <w:t>Turista Superior</w:t>
            </w:r>
          </w:p>
        </w:tc>
        <w:tc>
          <w:tcPr>
            <w:tcW w:w="2908"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rPr>
            </w:pPr>
            <w:r>
              <w:rPr>
                <w:rFonts w:eastAsia="Times New Roman" w:cs="Arial" w:ascii="Arial" w:hAnsi="Arial"/>
                <w:b/>
                <w:bCs/>
                <w:sz w:val="18"/>
                <w:szCs w:val="18"/>
                <w:lang w:eastAsia="es-ES"/>
              </w:rPr>
              <w:t>USD 1,328</w:t>
            </w:r>
          </w:p>
        </w:tc>
        <w:tc>
          <w:tcPr>
            <w:tcW w:w="2012" w:type="dxa"/>
            <w:tcBorders>
              <w:bottom w:val="single" w:sz="4" w:space="0" w:color="FF8000"/>
              <w:right w:val="single" w:sz="4" w:space="0" w:color="FF8000"/>
            </w:tcBorders>
            <w:shd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1,003</w:t>
            </w:r>
          </w:p>
        </w:tc>
      </w:tr>
      <w:tr>
        <w:trPr>
          <w:trHeight w:val="669" w:hRule="atLeast"/>
        </w:trPr>
        <w:tc>
          <w:tcPr>
            <w:tcW w:w="2364" w:type="dxa"/>
            <w:vMerge w:val="continue"/>
            <w:tcBorders>
              <w:top w:val="single" w:sz="4" w:space="0" w:color="E26B0A"/>
              <w:left w:val="single" w:sz="4" w:space="0" w:color="E26B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b/>
                <w:b/>
                <w:bCs/>
                <w:color w:val="C9211E"/>
                <w:sz w:val="18"/>
                <w:szCs w:val="18"/>
                <w:lang w:eastAsia="es-ES"/>
              </w:rPr>
            </w:pPr>
            <w:r>
              <w:rPr>
                <w:rFonts w:eastAsia="Times New Roman" w:cs="Arial" w:ascii="Arial" w:hAnsi="Arial"/>
                <w:b/>
                <w:bCs/>
                <w:color w:val="C9211E"/>
                <w:sz w:val="18"/>
                <w:szCs w:val="18"/>
                <w:lang w:eastAsia="es-ES"/>
              </w:rPr>
            </w:r>
          </w:p>
        </w:tc>
        <w:tc>
          <w:tcPr>
            <w:tcW w:w="2181"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Primera</w:t>
            </w:r>
          </w:p>
        </w:tc>
        <w:tc>
          <w:tcPr>
            <w:tcW w:w="2908"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1,564</w:t>
            </w:r>
          </w:p>
        </w:tc>
        <w:tc>
          <w:tcPr>
            <w:tcW w:w="2012" w:type="dxa"/>
            <w:tcBorders>
              <w:bottom w:val="single" w:sz="4" w:space="0" w:color="FF8000"/>
              <w:right w:val="single" w:sz="4" w:space="0" w:color="FF8000"/>
            </w:tcBorders>
            <w:shd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1,157</w:t>
            </w:r>
          </w:p>
        </w:tc>
      </w:tr>
    </w:tbl>
    <w:p>
      <w:pPr>
        <w:pStyle w:val="Normal"/>
        <w:spacing w:lineRule="auto" w:line="240" w:before="0" w:after="0"/>
        <w:jc w:val="both"/>
        <w:rPr>
          <w:rStyle w:val="Eop"/>
          <w:rFonts w:ascii="Arial" w:hAnsi="Arial" w:eastAsia="Times New Roman" w:cs="Arial"/>
          <w:b/>
          <w:b/>
          <w:i/>
          <w:i/>
          <w:iCs/>
          <w:color w:val="000000"/>
          <w:sz w:val="18"/>
          <w:szCs w:val="18"/>
          <w:lang w:eastAsia="es-ES"/>
        </w:rPr>
      </w:pPr>
      <w:r>
        <w:rPr>
          <w:rFonts w:eastAsia="Times New Roman" w:cs="Arial" w:ascii="Arial" w:hAnsi="Arial"/>
          <w:b/>
          <w:i/>
          <w:iCs/>
          <w:color w:val="000000"/>
          <w:sz w:val="18"/>
          <w:szCs w:val="18"/>
          <w:lang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 xml:space="preserve">EL PRECIO INCLUYE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 xml:space="preserve">Traslado privado: aeropuerto – hotel Montreal– aeropuerto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05 desayunos</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 xml:space="preserve">02 noches de alojamiento en Montreal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03 noches de alojamiento en Ottawa</w:t>
      </w:r>
    </w:p>
    <w:p>
      <w:pPr>
        <w:pStyle w:val="NoSpacing"/>
        <w:widowControl w:val="false"/>
        <w:numPr>
          <w:ilvl w:val="0"/>
          <w:numId w:val="4"/>
        </w:numPr>
        <w:jc w:val="both"/>
        <w:textAlignment w:val="baseline"/>
        <w:rPr>
          <w:rFonts w:ascii="Arial" w:hAnsi="Arial"/>
          <w:sz w:val="18"/>
          <w:szCs w:val="18"/>
        </w:rPr>
      </w:pPr>
      <w:r>
        <w:rPr>
          <w:rFonts w:ascii="Arial" w:hAnsi="Arial"/>
          <w:sz w:val="18"/>
          <w:szCs w:val="18"/>
        </w:rPr>
        <w:t xml:space="preserve">Tren ida y vuelta Montreal-Ottawa-Montreal en clase económica </w:t>
      </w:r>
    </w:p>
    <w:p>
      <w:pPr>
        <w:pStyle w:val="Normal"/>
        <w:numPr>
          <w:ilvl w:val="0"/>
          <w:numId w:val="4"/>
        </w:numPr>
        <w:spacing w:before="0" w:after="0"/>
        <w:rPr>
          <w:rFonts w:ascii="Arial" w:hAnsi="Arial"/>
          <w:sz w:val="18"/>
          <w:szCs w:val="18"/>
        </w:rPr>
      </w:pPr>
      <w:r>
        <w:rPr>
          <w:rFonts w:ascii="Arial" w:hAnsi="Arial"/>
          <w:sz w:val="18"/>
          <w:szCs w:val="18"/>
          <w:lang w:val="es-PE"/>
        </w:rPr>
        <w:t xml:space="preserve">Tour de la ciudad a pie de Montreal con guía de habla hispana </w:t>
      </w:r>
    </w:p>
    <w:p>
      <w:pPr>
        <w:pStyle w:val="Normal"/>
        <w:numPr>
          <w:ilvl w:val="0"/>
          <w:numId w:val="4"/>
        </w:numPr>
        <w:spacing w:before="0" w:after="0"/>
        <w:rPr>
          <w:rFonts w:ascii="Arial" w:hAnsi="Arial"/>
          <w:sz w:val="18"/>
          <w:szCs w:val="18"/>
        </w:rPr>
      </w:pPr>
      <w:r>
        <w:rPr>
          <w:rFonts w:ascii="Arial" w:hAnsi="Arial"/>
          <w:sz w:val="18"/>
          <w:szCs w:val="18"/>
          <w:lang w:val="es-PE"/>
        </w:rPr>
        <w:t xml:space="preserve">Tour de la ciudad a pie de Ottawa con guía de habla hispana </w:t>
      </w:r>
    </w:p>
    <w:p>
      <w:pPr>
        <w:pStyle w:val="Normal"/>
        <w:widowControl w:val="false"/>
        <w:numPr>
          <w:ilvl w:val="0"/>
          <w:numId w:val="4"/>
        </w:numPr>
        <w:spacing w:before="0" w:after="0"/>
        <w:jc w:val="both"/>
        <w:textAlignment w:val="baseline"/>
        <w:rPr>
          <w:rFonts w:ascii="Arial" w:hAnsi="Arial"/>
          <w:sz w:val="18"/>
          <w:szCs w:val="18"/>
        </w:rPr>
      </w:pPr>
      <w:r>
        <w:rPr>
          <w:rFonts w:ascii="Arial" w:hAnsi="Arial"/>
          <w:sz w:val="18"/>
          <w:szCs w:val="18"/>
          <w:lang w:val="es-PE"/>
        </w:rPr>
        <w:t xml:space="preserve">Entrada al Museo de la Guerra </w:t>
      </w:r>
    </w:p>
    <w:p>
      <w:pPr>
        <w:pStyle w:val="Normal"/>
        <w:widowControl w:val="false"/>
        <w:numPr>
          <w:ilvl w:val="0"/>
          <w:numId w:val="4"/>
        </w:numPr>
        <w:spacing w:before="0" w:after="0"/>
        <w:jc w:val="both"/>
        <w:textAlignment w:val="baseline"/>
        <w:rPr>
          <w:rFonts w:ascii="Arial" w:hAnsi="Arial"/>
          <w:sz w:val="18"/>
          <w:szCs w:val="18"/>
        </w:rPr>
      </w:pPr>
      <w:r>
        <w:rPr>
          <w:rFonts w:ascii="Arial" w:hAnsi="Arial"/>
          <w:sz w:val="18"/>
          <w:szCs w:val="18"/>
          <w:lang w:val="es-PE"/>
        </w:rPr>
        <w:t xml:space="preserve">Entrada al Museo de la Civilización </w:t>
      </w:r>
    </w:p>
    <w:p>
      <w:pPr>
        <w:pStyle w:val="NoSpacing"/>
        <w:widowControl w:val="false"/>
        <w:numPr>
          <w:ilvl w:val="0"/>
          <w:numId w:val="4"/>
        </w:numPr>
        <w:jc w:val="both"/>
        <w:textAlignment w:val="baseline"/>
        <w:rPr>
          <w:rFonts w:ascii="Arial" w:hAnsi="Arial"/>
          <w:sz w:val="18"/>
          <w:szCs w:val="18"/>
        </w:rPr>
      </w:pPr>
      <w:r>
        <w:rPr>
          <w:rFonts w:ascii="Arial" w:hAnsi="Arial"/>
          <w:sz w:val="18"/>
          <w:szCs w:val="18"/>
        </w:rPr>
        <w:t>Todos los impuestos aplicables</w:t>
      </w:r>
    </w:p>
    <w:p>
      <w:pPr>
        <w:pStyle w:val="NoSpacing"/>
        <w:widowControl w:val="false"/>
        <w:numPr>
          <w:ilvl w:val="0"/>
          <w:numId w:val="4"/>
        </w:numPr>
        <w:jc w:val="both"/>
        <w:textAlignment w:val="baseline"/>
        <w:rPr>
          <w:rFonts w:ascii="Arial" w:hAnsi="Arial" w:cs="Arial"/>
          <w:b/>
          <w:b/>
          <w:bCs/>
          <w:i/>
          <w:i/>
          <w:iCs/>
          <w:color w:val="0D0D0D"/>
          <w:sz w:val="18"/>
          <w:szCs w:val="18"/>
          <w:lang w:val="es-ES" w:eastAsia="es-ES"/>
        </w:rPr>
      </w:pPr>
      <w:r>
        <w:rPr>
          <w:rFonts w:cs="Arial" w:ascii="Arial" w:hAnsi="Arial"/>
          <w:b/>
          <w:bCs/>
          <w:i/>
          <w:iCs/>
          <w:color w:val="0D0D0D"/>
          <w:sz w:val="18"/>
          <w:szCs w:val="18"/>
          <w:lang w:val="es-ES" w:eastAsia="es-ES"/>
        </w:rPr>
        <w:t>Seguro de viajero con cobertura COVID</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 xml:space="preserve">EL PRECIO NO INCLUYE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Montreal – México</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Translado hotel – estación de tren – hotel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Alimentos no mencionados durante el itinerario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Manejo de equipaje extra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Visa/eTA para Canadá</w:t>
      </w:r>
    </w:p>
    <w:p>
      <w:pPr>
        <w:pStyle w:val="NoSpacing"/>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 </w:t>
      </w:r>
    </w:p>
    <w:p>
      <w:pPr>
        <w:pStyle w:val="NoSpacing"/>
        <w:widowControl w:val="false"/>
        <w:numPr>
          <w:ilvl w:val="0"/>
          <w:numId w:val="1"/>
        </w:numPr>
        <w:jc w:val="both"/>
        <w:textAlignment w:val="baseline"/>
        <w:rPr>
          <w:rFonts w:ascii="Arial" w:hAnsi="Arial" w:cs="Arial"/>
          <w:sz w:val="18"/>
          <w:szCs w:val="18"/>
          <w:lang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1"/>
        </w:numPr>
        <w:spacing w:lineRule="auto" w:line="240" w:before="0" w:after="0"/>
        <w:ind w:left="720" w:right="0" w:hanging="360"/>
        <w:contextualSpacing/>
        <w:jc w:val="both"/>
        <w:textAlignment w:val="baseline"/>
        <w:rPr/>
      </w:pPr>
      <w:r>
        <w:rPr>
          <w:rFonts w:cs="Arial" w:ascii="Arial" w:hAnsi="Arial"/>
          <w:color w:val="000000"/>
          <w:sz w:val="18"/>
          <w:szCs w:val="18"/>
          <w:lang w:val="es-ES_tradnl" w:eastAsia="es-ES"/>
        </w:rPr>
        <w:t xml:space="preserve">Los horarios de registro de entrada (check-in) y salida (check-out) de los hoteles están sujetos a las formalidades de cada hotel, pudiendo tener los siguientes horarios: check-in 14:00hrs y check-out 11:00hrs En caso de que la llegada fuese antes del horario establecido, existe la posibilidad de que la habitación no sea facilitada hasta el horario correspondiente. </w:t>
      </w:r>
      <w:r>
        <w:rPr>
          <w:rFonts w:cs="Arial" w:ascii="Arial" w:hAnsi="Arial"/>
          <w:color w:val="000000"/>
          <w:sz w:val="18"/>
          <w:szCs w:val="18"/>
        </w:rPr>
        <w:t>Si su avión regresa por la tarde, el hotel podrá mantener sus pertenencias.</w:t>
      </w:r>
    </w:p>
    <w:p>
      <w:pPr>
        <w:pStyle w:val="ListParagraph"/>
        <w:widowControl w:val="false"/>
        <w:numPr>
          <w:ilvl w:val="0"/>
          <w:numId w:val="1"/>
        </w:numPr>
        <w:spacing w:lineRule="auto" w:line="240" w:before="0" w:after="0"/>
        <w:ind w:left="720" w:right="0" w:hanging="360"/>
        <w:contextualSpacing/>
        <w:jc w:val="both"/>
        <w:textAlignment w:val="baseline"/>
        <w:rPr>
          <w:rFonts w:ascii="Arial" w:hAnsi="Arial" w:cs="Arial"/>
          <w:color w:val="0D0D0D"/>
          <w:sz w:val="18"/>
          <w:szCs w:val="18"/>
        </w:rPr>
      </w:pPr>
      <w:r>
        <w:rPr>
          <w:rFonts w:cs="Arial" w:ascii="Arial" w:hAnsi="Arial"/>
          <w:color w:val="0D0D0D"/>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1"/>
        </w:numPr>
        <w:spacing w:lineRule="auto" w:line="240" w:before="0" w:after="0"/>
        <w:ind w:left="720" w:right="0" w:hanging="360"/>
        <w:contextualSpacing/>
        <w:jc w:val="both"/>
        <w:textAlignment w:val="baseline"/>
        <w:rPr>
          <w:rFonts w:ascii="Arial" w:hAnsi="Arial" w:cs="Arial"/>
          <w:color w:val="0D0D0D"/>
          <w:sz w:val="18"/>
          <w:szCs w:val="18"/>
          <w:lang w:eastAsia="es-ES"/>
        </w:rPr>
      </w:pPr>
      <w:r>
        <w:rPr>
          <w:rFonts w:cs="Arial" w:ascii="Arial" w:hAnsi="Arial"/>
          <w:color w:val="0D0D0D"/>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1"/>
        </w:numPr>
        <w:spacing w:lineRule="auto" w:line="240" w:before="0" w:after="0"/>
        <w:ind w:left="720" w:right="0" w:hanging="360"/>
        <w:contextualSpacing/>
        <w:jc w:val="both"/>
        <w:textAlignment w:val="baseline"/>
        <w:rPr/>
      </w:pPr>
      <w:r>
        <w:rPr>
          <w:rFonts w:cs="Arial" w:ascii="Arial" w:hAnsi="Arial"/>
          <w:color w:val="0D0D0D"/>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1"/>
        </w:numPr>
        <w:spacing w:lineRule="auto" w:line="240" w:before="0" w:after="0"/>
        <w:ind w:left="720" w:right="0" w:hanging="360"/>
        <w:contextualSpacing/>
        <w:jc w:val="both"/>
        <w:rPr>
          <w:rFonts w:ascii="Arial" w:hAnsi="Arial" w:eastAsia="Times New Roman" w:cs="Arial"/>
          <w:color w:val="0D0D0D"/>
          <w:sz w:val="18"/>
          <w:szCs w:val="18"/>
          <w:lang w:val="es-MX" w:eastAsia="es-ES"/>
        </w:rPr>
      </w:pPr>
      <w:r>
        <w:rPr>
          <w:rFonts w:eastAsia="Times New Roman" w:cs="Arial" w:ascii="Arial" w:hAnsi="Arial"/>
          <w:color w:val="0D0D0D"/>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3"/>
        </w:numPr>
        <w:spacing w:lineRule="auto" w:line="240" w:before="0" w:after="0"/>
        <w:ind w:left="720" w:right="0" w:hanging="360"/>
        <w:contextualSpacing/>
        <w:jc w:val="both"/>
        <w:rPr>
          <w:rFonts w:ascii="Arial" w:hAnsi="Arial" w:cs="Arial"/>
          <w:color w:val="0D0D0D"/>
          <w:sz w:val="18"/>
          <w:szCs w:val="18"/>
          <w:lang w:eastAsia="es-ES"/>
        </w:rPr>
      </w:pPr>
      <w:r>
        <w:rPr>
          <w:rFonts w:cs="Arial" w:ascii="Arial" w:hAnsi="Arial"/>
          <w:color w:val="0D0D0D"/>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3"/>
        </w:numPr>
        <w:spacing w:lineRule="auto" w:line="240" w:before="0" w:after="0"/>
        <w:ind w:left="720" w:right="0" w:hanging="360"/>
        <w:contextualSpacing/>
        <w:jc w:val="both"/>
        <w:rPr/>
      </w:pPr>
      <w:r>
        <w:rPr>
          <w:rStyle w:val="Strong"/>
          <w:rFonts w:cs="Arial" w:ascii="Arial" w:hAnsi="Arial"/>
          <w:b w:val="false"/>
          <w:bCs w:val="false"/>
          <w:color w:val="0D0D0D"/>
          <w:sz w:val="18"/>
          <w:szCs w:val="18"/>
        </w:rPr>
        <w:t xml:space="preserve">Para poder confirmar los traslados debemos recibir la información completa 10 días hábiles antes de la salida. Si no recibimos la información dentro de este esquema, </w:t>
      </w:r>
      <w:r>
        <w:rPr>
          <w:rFonts w:cs="Arial" w:ascii="Arial" w:hAnsi="Arial"/>
          <w:color w:val="0D0D0D"/>
          <w:sz w:val="18"/>
          <w:szCs w:val="18"/>
        </w:rPr>
        <w:t>no se podrá proporcionar los servicios de traslados de entrada y/o salida, y no serán reembolsables.</w:t>
      </w:r>
    </w:p>
    <w:p>
      <w:pPr>
        <w:pStyle w:val="ListParagraph"/>
        <w:numPr>
          <w:ilvl w:val="0"/>
          <w:numId w:val="3"/>
        </w:numPr>
        <w:spacing w:lineRule="auto" w:line="240" w:before="0" w:after="0"/>
        <w:ind w:left="720" w:right="0" w:hanging="360"/>
        <w:contextualSpacing/>
        <w:jc w:val="both"/>
        <w:rPr>
          <w:rFonts w:ascii="Arial" w:hAnsi="Arial" w:cs="Arial"/>
          <w:color w:val="0D0D0D"/>
          <w:sz w:val="18"/>
          <w:szCs w:val="18"/>
          <w:lang w:eastAsia="es-ES"/>
        </w:rPr>
      </w:pPr>
      <w:r>
        <w:rPr>
          <w:rFonts w:cs="Arial" w:ascii="Arial" w:hAnsi="Arial"/>
          <w:color w:val="0D0D0D"/>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pPr>
        <w:pStyle w:val="NoSpacing"/>
        <w:widowControl w:val="false"/>
        <w:numPr>
          <w:ilvl w:val="0"/>
          <w:numId w:val="3"/>
        </w:numPr>
        <w:jc w:val="both"/>
        <w:textAlignment w:val="baseline"/>
        <w:rPr>
          <w:rFonts w:ascii="Arial" w:hAnsi="Arial" w:cs="Arial"/>
          <w:color w:val="0D0D0D"/>
          <w:sz w:val="18"/>
          <w:szCs w:val="18"/>
        </w:rPr>
      </w:pPr>
      <w:r>
        <w:rPr>
          <w:rFonts w:cs="Arial" w:ascii="Arial" w:hAnsi="Arial"/>
          <w:color w:val="0D0D0D"/>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rPr>
          <w:rFonts w:ascii="Arial" w:hAnsi="Arial" w:eastAsia="Times New Roman" w:cs="Arial"/>
          <w:color w:val="0D0D0D"/>
          <w:sz w:val="18"/>
          <w:szCs w:val="18"/>
          <w:u w:val="single"/>
          <w:lang w:eastAsia="es-ES"/>
        </w:rPr>
      </w:pPr>
      <w:r>
        <w:rPr>
          <w:rFonts w:eastAsia="Times New Roman" w:cs="Arial" w:ascii="Arial" w:hAnsi="Arial"/>
          <w:color w:val="0D0D0D"/>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Spacing"/>
        <w:widowControl w:val="false"/>
        <w:jc w:val="both"/>
        <w:textAlignment w:val="baseline"/>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sz w:val="22"/>
          <w:szCs w:val="22"/>
          <w:u w:val="single"/>
          <w:lang w:val="es-ES_tradnl" w:eastAsia="es-ES"/>
        </w:rPr>
      </w:pPr>
      <w:r>
        <w:rPr>
          <w:rFonts w:cs="Arial" w:ascii="Arial" w:hAnsi="Arial"/>
          <w:b/>
          <w:color w:val="E36C0A"/>
          <w:sz w:val="22"/>
          <w:szCs w:val="22"/>
          <w:u w:val="single"/>
          <w:lang w:val="es-ES_tradnl" w:eastAsia="es-ES"/>
        </w:rPr>
        <w:t>VIGENCIA DEL 01 DE NOVIEMBRE 2024 AL 19 DE ABRIL 2025</w:t>
      </w:r>
    </w:p>
    <w:p>
      <w:pPr>
        <w:pStyle w:val="NoSpacing"/>
        <w:widowControl w:val="false"/>
        <w:jc w:val="center"/>
        <w:textAlignment w:val="baseline"/>
        <w:rPr>
          <w:rFonts w:ascii="Arial" w:hAnsi="Arial" w:cs="Arial"/>
          <w:b/>
          <w:b/>
          <w:color w:val="FFFFFF"/>
          <w:sz w:val="22"/>
          <w:szCs w:val="18"/>
          <w:u w:val="single"/>
          <w:shd w:fill="0000FF" w:val="clear"/>
          <w:lang w:val="es-ES_tradnl" w:eastAsia="es-ES"/>
        </w:rPr>
      </w:pPr>
      <w:r>
        <w:rPr>
          <w:rFonts w:cs="Arial" w:ascii="Arial" w:hAnsi="Arial"/>
          <w:b/>
          <w:color w:val="FFFFFF"/>
          <w:sz w:val="22"/>
          <w:szCs w:val="18"/>
          <w:u w:val="single"/>
          <w:shd w:fill="0000FF" w:val="clear"/>
          <w:lang w:val="es-ES_tradnl" w:eastAsia="es-ES"/>
        </w:rPr>
        <w:t>Se requiere de prepago</w:t>
      </w:r>
    </w:p>
    <w:tbl>
      <w:tblPr>
        <w:tblW w:w="8637" w:type="dxa"/>
        <w:jc w:val="center"/>
        <w:tblInd w:w="0" w:type="dxa"/>
        <w:tblLayout w:type="fixed"/>
        <w:tblCellMar>
          <w:top w:w="0" w:type="dxa"/>
          <w:left w:w="108" w:type="dxa"/>
          <w:bottom w:w="0" w:type="dxa"/>
          <w:right w:w="108" w:type="dxa"/>
        </w:tblCellMar>
      </w:tblPr>
      <w:tblGrid>
        <w:gridCol w:w="8637"/>
      </w:tblGrid>
      <w:tr>
        <w:trPr>
          <w:trHeight w:val="151" w:hRule="atLeast"/>
        </w:trPr>
        <w:tc>
          <w:tcPr>
            <w:tcW w:w="8637" w:type="dxa"/>
            <w:tcBorders>
              <w:top w:val="single" w:sz="8" w:space="0" w:color="F9B074"/>
              <w:left w:val="single" w:sz="8" w:space="0" w:color="F9B074"/>
              <w:bottom w:val="single" w:sz="8" w:space="0" w:color="F9B074"/>
              <w:right w:val="single" w:sz="8" w:space="0" w:color="F9B074"/>
            </w:tcBorders>
            <w:shd w:fill="F79646" w:val="clear"/>
          </w:tcPr>
          <w:p>
            <w:pPr>
              <w:pStyle w:val="NoSpacing"/>
              <w:widowControl w:val="false"/>
              <w:suppressAutoHyphens w:val="true"/>
              <w:spacing w:before="0" w:after="0"/>
              <w:jc w:val="center"/>
              <w:textAlignment w:val="baseline"/>
              <w:rPr>
                <w:rFonts w:ascii="Arial" w:hAnsi="Arial" w:cs="Arial"/>
                <w:b/>
                <w:b/>
                <w:bCs/>
                <w:color w:val="auto"/>
                <w:kern w:val="0"/>
                <w:sz w:val="18"/>
                <w:szCs w:val="18"/>
                <w:u w:val="single"/>
                <w:lang w:val="es-ES_tradnl" w:eastAsia="es-ES" w:bidi="ar-SA"/>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trPr>
        <w:tc>
          <w:tcPr>
            <w:tcW w:w="8637" w:type="dxa"/>
            <w:tcBorders>
              <w:left w:val="single" w:sz="8" w:space="0" w:color="F9B074"/>
              <w:bottom w:val="single" w:sz="8" w:space="0" w:color="F9B074"/>
              <w:right w:val="single" w:sz="8" w:space="0" w:color="F9B074"/>
            </w:tcBorders>
            <w:shd w:fill="FDE4D0" w:val="clear"/>
          </w:tcPr>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Al momento de la reserva se debe de realizar el pago al 100% de los servicios</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NO SHOW 100% del total de la reservación.</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Servicios parciales no utlizados no son reembolsables</w:t>
            </w:r>
          </w:p>
        </w:tc>
      </w:tr>
    </w:tbl>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Proxima Nova Alt Lt">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4">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rgbClr val="808080">
                          <a:alpha val="47000"/>
                        </a:srgbClr>
                      </a:solidFill>
                      <a:ln w="25560">
                        <a:solidFill>
                          <a:srgbClr val="bfbfbf"/>
                        </a:solidFill>
                        <a:round/>
                      </a:ln>
                    </wps:spPr>
                    <wps:style>
                      <a:lnRef idx="0"/>
                      <a:fillRef idx="0"/>
                      <a:effectRef idx="0"/>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7">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s-MX"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s-ES" w:eastAsia="en-US" w:bidi="ar-SA"/>
    </w:rPr>
  </w:style>
  <w:style w:type="paragraph" w:styleId="Ttulo3">
    <w:name w:val="Heading 3"/>
    <w:basedOn w:val="Ttulo"/>
    <w:next w:val="Cuerpodetexto"/>
    <w:qFormat/>
    <w:pPr>
      <w:numPr>
        <w:ilvl w:val="0"/>
        <w:numId w:val="0"/>
      </w:numPr>
      <w:spacing w:before="140" w:after="120"/>
      <w:outlineLvl w:val="2"/>
    </w:pPr>
    <w:rPr>
      <w:rFonts w:ascii="Liberation Serif" w:hAnsi="Liberation Serif" w:eastAsia="Segoe UI" w:cs="Tahoma"/>
      <w:b/>
      <w:bCs/>
      <w:sz w:val="28"/>
      <w:szCs w:val="28"/>
    </w:rPr>
  </w:style>
  <w:style w:type="character" w:styleId="DefaultParagraphFont">
    <w:name w:val="Default Paragraph Font"/>
    <w:qFormat/>
    <w:rPr/>
  </w:style>
  <w:style w:type="character" w:styleId="SinespaciadoCar">
    <w:name w:val="Sin espaciado Car"/>
    <w:link w:val="NoSpacing"/>
    <w:qFormat/>
    <w:rPr>
      <w:rFonts w:ascii="Times New Roman" w:hAnsi="Times New Roman" w:eastAsia="Times New Roman" w:cs="Times New Roman"/>
      <w:sz w:val="24"/>
      <w:szCs w:val="24"/>
      <w:lang w:val="en-US"/>
    </w:rPr>
  </w:style>
  <w:style w:type="character" w:styleId="PiedepginaCar">
    <w:name w:val="Pie de página Car"/>
    <w:basedOn w:val="DefaultParagraphFont"/>
    <w:qFormat/>
    <w:rPr>
      <w:lang w:val="es-ES"/>
    </w:rPr>
  </w:style>
  <w:style w:type="character" w:styleId="EnlacedeInternet">
    <w:name w:val="Enlace de Internet"/>
    <w:basedOn w:val="DefaultParagraphFont"/>
    <w:rPr>
      <w:color w:val="0000FF"/>
      <w:u w:val="single"/>
    </w:rPr>
  </w:style>
  <w:style w:type="character" w:styleId="EncabezadoCar">
    <w:name w:val="Encabezado Car"/>
    <w:basedOn w:val="DefaultParagraphFont"/>
    <w:qFormat/>
    <w:rPr>
      <w:lang w:val="es-ES"/>
    </w:rPr>
  </w:style>
  <w:style w:type="character" w:styleId="EnlacedeInternetvisitado">
    <w:name w:val="Enlace de Internet visitado"/>
    <w:basedOn w:val="DefaultParagraphFont"/>
    <w:rPr>
      <w:color w:val="800080"/>
      <w:u w:val="single"/>
    </w:rPr>
  </w:style>
  <w:style w:type="character" w:styleId="Textoindependiente2Car">
    <w:name w:val="Texto independiente 2 Car"/>
    <w:basedOn w:val="DefaultParagraphFont"/>
    <w:link w:val="BodyText2"/>
    <w:qFormat/>
    <w:rPr>
      <w:rFonts w:ascii="Times New Roman" w:hAnsi="Times New Roman" w:eastAsia="SimSun" w:cs="Times New Roman"/>
      <w:sz w:val="20"/>
      <w:szCs w:val="20"/>
      <w:lang w:val="en-CA" w:eastAsia="en-CA"/>
    </w:rPr>
  </w:style>
  <w:style w:type="character" w:styleId="TextodegloboCar">
    <w:name w:val="Texto de globo Car"/>
    <w:basedOn w:val="DefaultParagraphFont"/>
    <w:link w:val="BalloonText"/>
    <w:qFormat/>
    <w:rPr>
      <w:rFonts w:ascii="Tahoma" w:hAnsi="Tahoma" w:cs="Tahoma"/>
      <w:sz w:val="16"/>
      <w:szCs w:val="16"/>
      <w:lang w:val="es-ES"/>
    </w:rPr>
  </w:style>
  <w:style w:type="character" w:styleId="Normaltextrun">
    <w:name w:val="normaltextrun"/>
    <w:basedOn w:val="DefaultParagraphFont"/>
    <w:qFormat/>
    <w:rPr/>
  </w:style>
  <w:style w:type="character" w:styleId="Tabchar">
    <w:name w:val="tabchar"/>
    <w:basedOn w:val="DefaultParagraphFont"/>
    <w:qFormat/>
    <w:rPr/>
  </w:style>
  <w:style w:type="character" w:styleId="Eop">
    <w:name w:val="eop"/>
    <w:basedOn w:val="DefaultParagraphFont"/>
    <w:qFormat/>
    <w:rPr/>
  </w:style>
  <w:style w:type="character" w:styleId="Strong">
    <w:name w:val="Strong"/>
    <w:basedOn w:val="DefaultParagraphFont"/>
    <w:qFormat/>
    <w:rPr>
      <w:b/>
      <w:bCs/>
    </w:rPr>
  </w:style>
  <w:style w:type="character" w:styleId="Vietas">
    <w:name w:val="Viñetas"/>
    <w:qFormat/>
    <w:rPr/>
  </w:style>
  <w:style w:type="character" w:styleId="Destaquemayor">
    <w:name w:val="Destaque mayor"/>
    <w:qFormat/>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qFormat/>
    <w:pPr>
      <w:widowControl/>
      <w:suppressAutoHyphens w:val="true"/>
      <w:overflowPunct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pPr>
      <w:tabs>
        <w:tab w:val="clear" w:pos="708"/>
        <w:tab w:val="center" w:pos="4252" w:leader="none"/>
        <w:tab w:val="right" w:pos="8504" w:leader="none"/>
      </w:tabs>
      <w:spacing w:lineRule="auto" w:line="240" w:before="0" w:after="0"/>
    </w:pPr>
    <w:rPr/>
  </w:style>
  <w:style w:type="paragraph" w:styleId="ListParagraph">
    <w:name w:val="List Paragraph"/>
    <w:basedOn w:val="Normal"/>
    <w:qFormat/>
    <w:pPr>
      <w:spacing w:before="0" w:after="200"/>
      <w:ind w:left="720" w:right="0" w:hanging="0"/>
      <w:contextualSpacing/>
    </w:pPr>
    <w:rPr/>
  </w:style>
  <w:style w:type="paragraph" w:styleId="BodyText2">
    <w:name w:val="Body Text 2"/>
    <w:basedOn w:val="Normal"/>
    <w:link w:val="Textoindependiente2Car"/>
    <w:qFormat/>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qFormat/>
    <w:pPr>
      <w:spacing w:lineRule="auto" w:line="240" w:before="0" w:after="0"/>
    </w:pPr>
    <w:rPr>
      <w:rFonts w:ascii="Tahoma" w:hAnsi="Tahoma" w:cs="Tahoma"/>
      <w:sz w:val="16"/>
      <w:szCs w:val="16"/>
    </w:rPr>
  </w:style>
  <w:style w:type="paragraph" w:styleId="Paragraph">
    <w:name w:val="paragraph"/>
    <w:basedOn w:val="Normal"/>
    <w:qFormat/>
    <w:pPr>
      <w:spacing w:lineRule="auto" w:line="240" w:before="280" w:after="280"/>
    </w:pPr>
    <w:rPr>
      <w:rFonts w:ascii="Times New Roman" w:hAnsi="Times New Roman" w:eastAsia="Times New Roman" w:cs="Times New Roman"/>
      <w:sz w:val="24"/>
      <w:szCs w:val="24"/>
      <w:lang w:eastAsia="es-E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Default">
    <w:name w:val="Default"/>
    <w:qFormat/>
    <w:pPr>
      <w:widowControl/>
      <w:suppressAutoHyphens w:val="true"/>
      <w:overflowPunct w:val="true"/>
      <w:bidi w:val="0"/>
      <w:spacing w:lineRule="auto" w:line="276" w:before="0" w:after="200"/>
      <w:jc w:val="left"/>
    </w:pPr>
    <w:rPr>
      <w:rFonts w:ascii="Arial" w:hAnsi="Arial" w:eastAsia="Calibri" w:cs="Tahoma"/>
      <w:color w:val="000000"/>
      <w:kern w:val="0"/>
      <w:sz w:val="24"/>
      <w:szCs w:val="22"/>
      <w:lang w:val="es-MX" w:eastAsia="en-US"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docProps/app.xml><?xml version="1.0" encoding="utf-8"?>
<Properties xmlns="http://schemas.openxmlformats.org/officeDocument/2006/extended-properties" xmlns:vt="http://schemas.openxmlformats.org/officeDocument/2006/docPropsVTypes">
  <Template>Normal</Template>
  <TotalTime>2488</TotalTime>
  <Application>LibreOffice/7.3.5.2$Windows_X86_64 LibreOffice_project/184fe81b8c8c30d8b5082578aee2fed2ea847c01</Application>
  <AppVersion>15.0000</AppVersion>
  <Pages>3</Pages>
  <Words>1556</Words>
  <Characters>8099</Characters>
  <CharactersWithSpaces>9565</CharactersWithSpaces>
  <Paragraphs>107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2024-09-17T21:31:00Z</dcterms:created>
  <dc:creator>V2784160</dc:creator>
  <dc:description/>
  <dc:language>es-MX</dc:language>
  <cp:lastModifiedBy/>
  <cp:lastPrinted>2023-05-09T02:06:00Z</cp:lastPrinted>
  <dcterms:modified xsi:type="dcterms:W3CDTF">2024-10-28T17:43:34Z</dcterms:modified>
  <cp:revision>116</cp:revision>
  <dc:subject/>
  <dc:title>Montréal &amp; Tremblant Jet-Set / FIT VENTA LIBRE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