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DESCUBRE PERÚ</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Arequipa – Valle del Colca – Puno – Lago Titicaca (Islas Uros y Taquile) – Puno – Cusco – Valle Sagrado – Machu Picchu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color w:val="000000" w:themeColor="text1" w:themeShade="ff" w:themeTint="ff"/>
                <w:kern w:val="0"/>
                <w:sz w:val="18"/>
                <w:szCs w:val="18"/>
                <w:lang w:val="es-ES" w:eastAsia="es-ES" w:bidi="ar-SA"/>
              </w:rPr>
              <w:t>Diarias del 01 de noviembre 2024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11 días / 10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 xml:space="preserve">10 desayunos y 5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65545" cy="1733550"/>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1151" r="0" b="5332"/>
                    <a:stretch>
                      <a:fillRect/>
                    </a:stretch>
                  </pic:blipFill>
                  <pic:spPr bwMode="auto">
                    <a:xfrm>
                      <a:off x="0" y="0"/>
                      <a:ext cx="6265545" cy="173355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b/>
          <w:b/>
          <w:color w:val="404040"/>
          <w:sz w:val="18"/>
          <w:szCs w:val="18"/>
        </w:rPr>
      </w:pPr>
      <w:r>
        <w:rPr>
          <w:rFonts w:eastAsia="Arial" w:cs="Arial" w:ascii="Arial" w:hAnsi="Arial"/>
          <w:b/>
          <w:color w:val="EF782D"/>
          <w:sz w:val="18"/>
          <w:szCs w:val="18"/>
        </w:rPr>
        <w:t>Día 3</w:t>
        <w:tab/>
      </w:r>
      <w:r>
        <w:rPr>
          <w:rFonts w:cs="Arial" w:ascii="Arial" w:hAnsi="Arial"/>
          <w:b/>
          <w:color w:val="E36C0A" w:themeColor="accent6" w:themeShade="bf"/>
          <w:sz w:val="18"/>
          <w:szCs w:val="18"/>
        </w:rPr>
        <w:t>Lima – Arequipa, Visita de Ciudad &amp; Convento de Santa Catalina</w:t>
      </w:r>
    </w:p>
    <w:p>
      <w:pPr>
        <w:pStyle w:val="Normal"/>
        <w:spacing w:lineRule="auto" w:line="240" w:before="0" w:after="0"/>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sz w:val="18"/>
          <w:szCs w:val="18"/>
        </w:rPr>
        <w:t>A la hora coordinada traslado al aeropuerto para abordar el vuelo con destino a la ciudad de Arequipa.</w:t>
      </w:r>
      <w:r>
        <w:rPr>
          <w:rFonts w:cs="Arial" w:ascii="Arial" w:hAnsi="Arial"/>
          <w:b/>
          <w:sz w:val="18"/>
          <w:szCs w:val="18"/>
        </w:rPr>
        <w:t xml:space="preserve"> </w:t>
      </w:r>
      <w:r>
        <w:rPr>
          <w:rFonts w:cs="Arial" w:ascii="Arial" w:hAnsi="Arial"/>
          <w:sz w:val="18"/>
          <w:szCs w:val="18"/>
        </w:rPr>
        <w:t>A su llegada asistencia y traslado al hotel. Por la tarde déjese cautivar por la bella “Ciudad Blanca de Arequipa”, denominada así por sus construcciones arquitectónicas con piedra volcánica y sillar; conozca su plaza principal, aprecie su catedral e iglesias coloniales, haga una parada en los Miradores de Carmen Alto y Yanahuara para obtener la clásica foto de la ciudad. Finalmente, visite el Convento de Santa Catalina recorriendo sus claustros, celdas, fuentes de sillar con jardines y estrechas calles.   Alojamiento en Arequipa.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Spacing"/>
        <w:jc w:val="both"/>
        <w:rPr>
          <w:rFonts w:ascii="Arial" w:hAnsi="Arial" w:eastAsia="Batang" w:cs="Arial"/>
          <w:kern w:val="2"/>
          <w:sz w:val="18"/>
          <w:lang w:val="es-ES_tradnl" w:eastAsia="es-ES"/>
        </w:rPr>
      </w:pPr>
      <w:r>
        <w:rPr>
          <w:rFonts w:cs="Arial" w:ascii="Arial" w:hAnsi="Arial"/>
          <w:i/>
          <w:iCs/>
          <w:color w:val="404040" w:themeColor="text1" w:themeTint="bf"/>
          <w:sz w:val="18"/>
          <w:szCs w:val="18"/>
          <w:lang w:val="es-ES" w:eastAsia="es-ES"/>
        </w:rPr>
        <w:t>Nota: El vuelo Lima/Arequipa debe considerarse temprano por la mañana.</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Arequipa – Valle del Colca  </w:t>
      </w:r>
    </w:p>
    <w:p>
      <w:pPr>
        <w:pStyle w:val="Normal"/>
        <w:spacing w:lineRule="auto" w:line="240" w:before="0" w:after="0"/>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sz w:val="18"/>
          <w:szCs w:val="18"/>
        </w:rPr>
        <w:t xml:space="preserve">Hoy saldremos muy temprano hacia el imponente cañón del Colca. Este recorrido lo invita a contemplar admirables paisajes andinos y a apreciar de cerca el majestuoso vuelo del cóndor en el Cañón del Colca, considerado el más profundo del mundo.  Embárquese en un viaje de 4 horas aproximadamente hasta llegar a Chivay, primer poblado en el Valle del Colca, durante el trayecto disfrute de las magníficas vistas de la zona, adornada por imponentes volcanes, amplios bofedales, nevados y lagunas habitadas por diversas aves andinas; una vez en Chivay reponga sus energías con un delicioso </w:t>
      </w:r>
      <w:r>
        <w:rPr>
          <w:rFonts w:cs="Arial" w:ascii="Arial" w:hAnsi="Arial"/>
          <w:b/>
          <w:bCs/>
          <w:i/>
          <w:iCs/>
          <w:sz w:val="18"/>
          <w:szCs w:val="18"/>
          <w:u w:val="single"/>
        </w:rPr>
        <w:t>almuerzo</w:t>
      </w:r>
      <w:r>
        <w:rPr>
          <w:rFonts w:cs="Arial" w:ascii="Arial" w:hAnsi="Arial"/>
          <w:sz w:val="18"/>
          <w:szCs w:val="18"/>
        </w:rPr>
        <w:t xml:space="preserve"> (no incluye bebidas). Tarde libre para actividades de su propio interés.  Alojamiento en Colca.</w:t>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del Colca – Puno </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Aprecie un bello amanecer andino y haga un recorrido a lo largo del Cañón del Colca hasta la Cruz del Cóndor, punto desde donde podremos observar el elegante vuelo de estas enormes aves, cuyas alas se extienden hasta 3 metros; admire su majestuoso vuelo y obtenga una excelente vista del Cañón del Colca, una oportunidad única para tomar excelentes   fotografías. Posteriormente nos disponemos a retornar al poblado de Chivay para tomar un reconfortante </w:t>
      </w:r>
      <w:r>
        <w:rPr>
          <w:rFonts w:cs="Arial" w:ascii="Arial" w:hAnsi="Arial"/>
          <w:b/>
          <w:bCs/>
          <w:i/>
          <w:iCs/>
          <w:sz w:val="18"/>
          <w:szCs w:val="18"/>
          <w:u w:val="single"/>
        </w:rPr>
        <w:t>almuerzo</w:t>
      </w:r>
      <w:r>
        <w:rPr>
          <w:rFonts w:cs="Arial" w:ascii="Arial" w:hAnsi="Arial"/>
          <w:sz w:val="18"/>
          <w:szCs w:val="18"/>
        </w:rPr>
        <w:t xml:space="preserve"> (no incluido). Por la tarde nos embarcamos en bus turístico con dirección a la ciudad de Puno, a su llegada asistencia y traslado a su hotel.  Alojamiento en Puno.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Puno – Lago Titicaca (Islas Uros y Taquile)</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cs="Arial" w:ascii="Arial" w:hAnsi="Arial"/>
          <w:sz w:val="18"/>
          <w:szCs w:val="18"/>
        </w:rPr>
        <w:t xml:space="preserve">. 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después embarcarse de regreso a su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Cusco “Ruta del Sol”</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Embárquese en un confortable bus turístico y atraviesa bellos paisajes andinos hasta llegar a la ciudad de Cusco, en el trayecto conocerá atractivos turísticos como el pueblo de Pukará, donde tendrá una visita guiada al museo de sitio para apreciar restos arqueológicos de las culturas andinas del altiplano; luego llegaremos a La Raya, punto más alto de la ruta (4335 m.s.n.m), aquí tendremos unos 10 minutos para poder hacer tomas fotográficas; después nos dirigimos hasta la localidad de Sicuani para tomar un típico </w:t>
      </w:r>
      <w:r>
        <w:rPr>
          <w:rFonts w:cs="Arial" w:ascii="Arial" w:hAnsi="Arial"/>
          <w:b/>
          <w:bCs/>
          <w:i/>
          <w:iCs/>
          <w:sz w:val="18"/>
          <w:szCs w:val="18"/>
          <w:u w:val="single"/>
        </w:rPr>
        <w:t>almuerzo</w:t>
      </w:r>
      <w:r>
        <w:rPr>
          <w:rFonts w:cs="Arial" w:ascii="Arial" w:hAnsi="Arial"/>
          <w:sz w:val="18"/>
          <w:szCs w:val="18"/>
        </w:rPr>
        <w:t xml:space="preserve"> (no incluye bebidas); continuamos con el recorrido para visitar el centro arqueológico de Raqch’i, edificación Inca elaborada para el Dios Wiracocha.  Finalizando el viaje llegaremos al pueblo de Andahuaylillas en donde visitaremos la Iglesia de San Pedro, también conocida como la Capilla Sixtina de América. Llegada al Cusco y traslado al hotel.  Alojamiento en Cusco.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 </w:t>
      </w:r>
      <w:r>
        <w:rPr>
          <w:rFonts w:cs="Arial" w:ascii="Arial" w:hAnsi="Arial"/>
          <w:b/>
          <w:color w:val="E36C0A" w:themeColor="accent6" w:themeShade="bf"/>
          <w:sz w:val="18"/>
          <w:szCs w:val="18"/>
          <w:lang w:eastAsia="es-ES"/>
        </w:rPr>
        <w:t>Visita de Ciudad &amp; Sacsayhumán</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Mañana libre para actividades de su interés.</w:t>
      </w:r>
      <w:r>
        <w:rPr>
          <w:rFonts w:cs="Arial" w:ascii="Arial" w:hAnsi="Arial"/>
          <w:i/>
          <w:sz w:val="18"/>
          <w:szCs w:val="18"/>
        </w:rPr>
        <w:t xml:space="preserve"> </w:t>
      </w:r>
      <w:r>
        <w:rPr>
          <w:rFonts w:cs="Arial" w:ascii="Arial" w:hAnsi="Arial"/>
          <w:iCs/>
          <w:sz w:val="18"/>
          <w:szCs w:val="18"/>
        </w:rPr>
        <w:t xml:space="preserve"> </w:t>
      </w:r>
      <w:r>
        <w:rPr>
          <w:rFonts w:cs="Arial" w:ascii="Arial" w:hAnsi="Arial"/>
          <w:sz w:val="18"/>
          <w:szCs w:val="18"/>
        </w:rPr>
        <w:t>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w:t>
      </w:r>
      <w:r>
        <w:rPr>
          <w:rFonts w:cs="Arial" w:ascii="Arial" w:hAnsi="Arial"/>
          <w:iCs/>
          <w:sz w:val="18"/>
          <w:szCs w:val="18"/>
        </w:rPr>
        <w:t xml:space="preserve"> </w:t>
      </w:r>
      <w:r>
        <w:rPr>
          <w:rFonts w:cs="Arial" w:ascii="Arial" w:hAnsi="Arial"/>
          <w:sz w:val="18"/>
          <w:szCs w:val="18"/>
        </w:rPr>
        <w:t xml:space="preserve">Posteriormente recorra los alrededores de la ciudad, admire la imponente fortaleza de Sacsayhuamán y lo asombroso de sus muros compuestos por enormes piedras ensambladas con gran precisión, conozca el adoratorio de Kenko, el atalaya de Puka Pukará y finalmente Tambomachay, antiguo recinto inca de culto al agua. </w:t>
      </w:r>
      <w:r>
        <w:rPr>
          <w:rFonts w:cs="Arial" w:ascii="Arial" w:hAnsi="Arial"/>
          <w:iCs/>
          <w:sz w:val="18"/>
          <w:szCs w:val="18"/>
        </w:rPr>
        <w:t xml:space="preserve"> </w:t>
      </w:r>
      <w:r>
        <w:rPr>
          <w:rFonts w:cs="Arial" w:ascii="Arial" w:hAnsi="Arial"/>
          <w:sz w:val="18"/>
          <w:szCs w:val="18"/>
        </w:rPr>
        <w:t>Alojamiento en Cusco.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9     Cusco – </w:t>
      </w:r>
      <w:r>
        <w:rPr>
          <w:rFonts w:cs="Arial" w:ascii="Arial" w:hAnsi="Arial"/>
          <w:b/>
          <w:color w:val="E36C0A" w:themeColor="accent6" w:themeShade="bf"/>
          <w:sz w:val="18"/>
          <w:szCs w:val="18"/>
          <w:lang w:eastAsia="es-ES"/>
        </w:rPr>
        <w:t xml:space="preserve">Valle Sagrado </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sz w:val="18"/>
          <w:szCs w:val="18"/>
          <w:u w:val="single"/>
        </w:rPr>
        <w:t>almuerzo</w:t>
      </w:r>
      <w:r>
        <w:rPr>
          <w:rFonts w:cs="Arial" w:ascii="Arial" w:hAnsi="Arial"/>
          <w:sz w:val="18"/>
          <w:szCs w:val="18"/>
        </w:rPr>
        <w:t xml:space="preserve"> en un restaurante local (no incluye bebidas). Por la tarde continúe su recorrido para visitar la Fortaleza de Ollantaytambo, camine por sus típicas calles y ascienda a los más alto de la fortaleza para admirar la belleza del paisaje circundante.  Alojamiento en el Valle Sagrado.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10    Valle Sagrado – Machu Picchu – Cusco </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Pr>
          <w:rFonts w:cs="Arial" w:ascii="Arial" w:hAnsi="Arial"/>
          <w:b/>
          <w:bCs/>
          <w:sz w:val="18"/>
          <w:szCs w:val="18"/>
          <w:u w:val="single"/>
        </w:rPr>
        <w:t>almuerzo</w:t>
      </w:r>
      <w:r>
        <w:rPr>
          <w:rFonts w:cs="Arial" w:ascii="Arial" w:hAnsi="Arial"/>
          <w:sz w:val="18"/>
          <w:szCs w:val="18"/>
        </w:rPr>
        <w:t xml:space="preserve"> (no incluye bebidas). A la hora indicada abordará nuevamente el tren de retorno a Cusco. Alojamiento en Cusco.</w:t>
      </w:r>
    </w:p>
    <w:p>
      <w:pPr>
        <w:pStyle w:val="Normal"/>
        <w:spacing w:lineRule="auto" w:line="240" w:before="0" w:after="0"/>
        <w:jc w:val="both"/>
        <w:rPr>
          <w:rFonts w:ascii="Arial" w:hAnsi="Arial" w:cs="Arial"/>
          <w:iCs/>
          <w:sz w:val="18"/>
          <w:szCs w:val="18"/>
        </w:rPr>
      </w:pPr>
      <w:r>
        <w:rPr>
          <w:rFonts w:cs="Arial" w:ascii="Arial" w:hAnsi="Arial"/>
          <w:iCs/>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11   Cusco </w:t>
      </w:r>
    </w:p>
    <w:p>
      <w:pPr>
        <w:pStyle w:val="Normal"/>
        <w:spacing w:lineRule="auto" w:line="240" w:before="0" w:after="0"/>
        <w:jc w:val="both"/>
        <w:rPr>
          <w:rFonts w:ascii="Arial" w:hAnsi="Arial" w:cs="Arial"/>
          <w:iCs/>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A la hora coordinada traslado al aeropuerto para abordar el vuelo de retorno</w:t>
      </w:r>
    </w:p>
    <w:p>
      <w:pPr>
        <w:pStyle w:val="Normal"/>
        <w:spacing w:lineRule="auto" w:line="240" w:before="0" w:after="0"/>
        <w:jc w:val="both"/>
        <w:rPr>
          <w:rFonts w:ascii="Arial" w:hAnsi="Arial" w:cs="Arial"/>
          <w:sz w:val="18"/>
          <w:szCs w:val="18"/>
        </w:rPr>
      </w:pPr>
      <w:r>
        <w:rPr>
          <w:rFonts w:cs="Arial" w:ascii="Arial" w:hAnsi="Arial"/>
          <w:sz w:val="18"/>
          <w:szCs w:val="18"/>
        </w:rPr>
        <w:t xml:space="preserve">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3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62"/>
        <w:gridCol w:w="1510"/>
        <w:gridCol w:w="1316"/>
        <w:gridCol w:w="1411"/>
        <w:gridCol w:w="1412"/>
        <w:gridCol w:w="1414"/>
        <w:gridCol w:w="1410"/>
      </w:tblGrid>
      <w:tr>
        <w:trPr>
          <w:trHeight w:val="340" w:hRule="atLeast"/>
        </w:trPr>
        <w:tc>
          <w:tcPr>
            <w:tcW w:w="1262"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51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1316"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AREQUIPA</w:t>
            </w:r>
          </w:p>
        </w:tc>
        <w:tc>
          <w:tcPr>
            <w:tcW w:w="1411"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COLCA</w:t>
            </w:r>
          </w:p>
        </w:tc>
        <w:tc>
          <w:tcPr>
            <w:tcW w:w="1412"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c>
          <w:tcPr>
            <w:tcW w:w="1414"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1410"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r>
      <w:tr>
        <w:trPr>
          <w:trHeight w:val="340" w:hRule="atLeast"/>
        </w:trPr>
        <w:tc>
          <w:tcPr>
            <w:tcW w:w="126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1316"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 </w:t>
            </w:r>
            <w:r>
              <w:rPr>
                <w:rFonts w:eastAsia="Times New Roman" w:cs="Arial" w:ascii="Arial" w:hAnsi="Arial"/>
                <w:color w:val="000000"/>
                <w:sz w:val="18"/>
                <w:szCs w:val="18"/>
                <w:lang w:val="es-PE"/>
              </w:rPr>
              <w:t>Vita Arequipa l</w:t>
              <w:br/>
              <w:t xml:space="preserve"> Los Tambos Colonial</w:t>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Vita Colca</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c>
          <w:tcPr>
            <w:tcW w:w="1414"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141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r>
      <w:tr>
        <w:trPr>
          <w:trHeight w:val="340" w:hRule="atLeast"/>
        </w:trPr>
        <w:tc>
          <w:tcPr>
            <w:tcW w:w="126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1316"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 xml:space="preserve">Tierra Viva Arequipa | </w:t>
            </w:r>
            <w:r>
              <w:rPr>
                <w:rFonts w:eastAsia="Times New Roman" w:cs="Arial" w:ascii="Arial" w:hAnsi="Arial"/>
                <w:color w:val="000000"/>
                <w:sz w:val="16"/>
                <w:szCs w:val="16"/>
                <w:lang w:val="es-PE" w:eastAsia="en-US"/>
              </w:rPr>
              <w:t xml:space="preserve">  </w:t>
            </w:r>
            <w:r>
              <w:rPr>
                <w:rFonts w:eastAsia="Times New Roman" w:cs="Arial" w:ascii="Arial" w:hAnsi="Arial"/>
                <w:color w:val="000000"/>
                <w:sz w:val="18"/>
                <w:szCs w:val="18"/>
                <w:lang w:val="es-PE" w:eastAsia="en-US"/>
              </w:rPr>
              <w:t>Acolpacha</w:t>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El Refugio</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c>
          <w:tcPr>
            <w:tcW w:w="1414"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141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r>
      <w:tr>
        <w:trPr>
          <w:trHeight w:val="340" w:hRule="atLeast"/>
        </w:trPr>
        <w:tc>
          <w:tcPr>
            <w:tcW w:w="126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1316"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El Cabildo</w:t>
            </w:r>
          </w:p>
        </w:tc>
        <w:tc>
          <w:tcPr>
            <w:tcW w:w="1411" w:type="dxa"/>
            <w:vMerge w:val="restart"/>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 xml:space="preserve">Aranwa Colca resort &amp; spa </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c>
          <w:tcPr>
            <w:tcW w:w="1414"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141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r>
      <w:tr>
        <w:trPr>
          <w:trHeight w:val="340" w:hRule="atLeast"/>
        </w:trPr>
        <w:tc>
          <w:tcPr>
            <w:tcW w:w="1262" w:type="dxa"/>
            <w:tcBorders>
              <w:top w:val="single" w:sz="4" w:space="0" w:color="E36C0A"/>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510" w:type="dxa"/>
            <w:tcBorders>
              <w:top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1316" w:type="dxa"/>
            <w:tcBorders>
              <w:top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Sonesta Arequipa</w:t>
            </w:r>
          </w:p>
        </w:tc>
        <w:tc>
          <w:tcPr>
            <w:tcW w:w="1411" w:type="dxa"/>
            <w:vMerge w:val="continue"/>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412" w:type="dxa"/>
            <w:tcBorders>
              <w:top w:val="single" w:sz="4" w:space="0" w:color="E36C0A"/>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c>
          <w:tcPr>
            <w:tcW w:w="1414" w:type="dxa"/>
            <w:tcBorders>
              <w:top w:val="single" w:sz="4" w:space="0" w:color="E36C0A"/>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1410" w:type="dxa"/>
            <w:tcBorders>
              <w:top w:val="single" w:sz="4" w:space="0" w:color="E36C0A"/>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r>
      <w:tr>
        <w:trPr>
          <w:trHeight w:val="340" w:hRule="atLeast"/>
        </w:trPr>
        <w:tc>
          <w:tcPr>
            <w:tcW w:w="126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1316"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Casa Andina Premium Arequipa</w:t>
            </w:r>
          </w:p>
          <w:p>
            <w:pPr>
              <w:pStyle w:val="Normal"/>
              <w:widowControl w:val="false"/>
              <w:spacing w:before="0" w:after="20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Aranwa Colca resort &amp; spa (Suite)</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c>
          <w:tcPr>
            <w:tcW w:w="1414"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141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8"/>
          <w:szCs w:val="18"/>
          <w:u w:val="single"/>
        </w:rPr>
      </w:pPr>
      <w:r>
        <w:rPr>
          <w:rFonts w:eastAsia="Arial" w:cs="Arial" w:ascii="Arial" w:hAnsi="Arial"/>
          <w:b/>
          <w:color w:val="000000"/>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4"/>
          <w:szCs w:val="14"/>
        </w:rPr>
      </w:pPr>
      <w:r>
        <w:rPr>
          <w:rFonts w:cs="Arial" w:ascii="Arial" w:hAnsi="Arial"/>
          <w:b/>
          <w:bCs/>
          <w:i/>
          <w:iCs/>
          <w:sz w:val="14"/>
          <w:szCs w:val="14"/>
        </w:rPr>
      </w:r>
    </w:p>
    <w:tbl>
      <w:tblPr>
        <w:tblW w:w="949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6"/>
        <w:gridCol w:w="1221"/>
        <w:gridCol w:w="1332"/>
        <w:gridCol w:w="1276"/>
        <w:gridCol w:w="1276"/>
        <w:gridCol w:w="1277"/>
        <w:gridCol w:w="1274"/>
      </w:tblGrid>
      <w:tr>
        <w:trPr>
          <w:trHeight w:val="398" w:hRule="atLeast"/>
        </w:trPr>
        <w:tc>
          <w:tcPr>
            <w:tcW w:w="1836"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1"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32"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4"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8" w:hRule="atLeast"/>
        </w:trPr>
        <w:tc>
          <w:tcPr>
            <w:tcW w:w="1836" w:type="dxa"/>
            <w:vMerge w:val="restart"/>
            <w:tcBorders>
              <w:top w:val="single" w:sz="4" w:space="0" w:color="E26B0A"/>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br/>
            </w:r>
          </w:p>
        </w:tc>
        <w:tc>
          <w:tcPr>
            <w:tcW w:w="1221"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1,659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1,545</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1,184</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2,379</w:t>
            </w:r>
          </w:p>
        </w:tc>
      </w:tr>
      <w:tr>
        <w:trPr>
          <w:trHeight w:val="398" w:hRule="atLeast"/>
        </w:trPr>
        <w:tc>
          <w:tcPr>
            <w:tcW w:w="1836"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3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2,243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1,736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1,620</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1,261</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2,562</w:t>
            </w:r>
          </w:p>
        </w:tc>
      </w:tr>
      <w:tr>
        <w:trPr>
          <w:trHeight w:val="398" w:hRule="atLeast"/>
        </w:trPr>
        <w:tc>
          <w:tcPr>
            <w:tcW w:w="1836"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2,483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1,738</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1,379</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2,802</w:t>
            </w:r>
          </w:p>
        </w:tc>
      </w:tr>
      <w:tr>
        <w:trPr>
          <w:trHeight w:val="398" w:hRule="atLeast"/>
        </w:trPr>
        <w:tc>
          <w:tcPr>
            <w:tcW w:w="1836"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3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2,658</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1,991</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1,865</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1,504</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2,977</w:t>
            </w:r>
          </w:p>
        </w:tc>
      </w:tr>
      <w:tr>
        <w:trPr>
          <w:trHeight w:val="398" w:hRule="atLeast"/>
        </w:trPr>
        <w:tc>
          <w:tcPr>
            <w:tcW w:w="1836"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3,576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2,411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2,209</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1,848</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3,895</w:t>
            </w:r>
          </w:p>
        </w:tc>
      </w:tr>
      <w:tr>
        <w:trPr>
          <w:trHeight w:val="398" w:hRule="atLeast"/>
        </w:trPr>
        <w:tc>
          <w:tcPr>
            <w:tcW w:w="1836" w:type="dxa"/>
            <w:vMerge w:val="restart"/>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221"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2,107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1,57</w:t>
            </w:r>
            <w:r>
              <w:rPr>
                <w:rFonts w:eastAsia="Times New Roman" w:cs="Arial" w:ascii="Arial" w:hAnsi="Arial"/>
                <w:color w:val="000000"/>
                <w:sz w:val="18"/>
                <w:szCs w:val="18"/>
                <w:lang w:eastAsia="es-ES"/>
              </w:rPr>
              <w:t>9</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w:t>
            </w:r>
            <w:r>
              <w:rPr>
                <w:rFonts w:eastAsia="Times New Roman" w:cs="Arial" w:ascii="Arial" w:hAnsi="Arial"/>
                <w:color w:val="000000"/>
                <w:sz w:val="18"/>
                <w:szCs w:val="18"/>
                <w:lang w:eastAsia="es-ES"/>
              </w:rPr>
              <w:t>8</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2,420</w:t>
            </w:r>
          </w:p>
        </w:tc>
      </w:tr>
      <w:tr>
        <w:trPr>
          <w:trHeight w:val="398" w:hRule="atLeast"/>
        </w:trPr>
        <w:tc>
          <w:tcPr>
            <w:tcW w:w="1836"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1,765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w:t>
            </w:r>
            <w:r>
              <w:rPr>
                <w:rFonts w:eastAsia="Times New Roman" w:cs="Arial" w:ascii="Arial" w:hAnsi="Arial"/>
                <w:color w:val="000000"/>
                <w:sz w:val="18"/>
                <w:szCs w:val="18"/>
                <w:lang w:eastAsia="es-ES"/>
              </w:rPr>
              <w:t>72</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w:t>
            </w:r>
            <w:r>
              <w:rPr>
                <w:rFonts w:eastAsia="Times New Roman" w:cs="Arial" w:ascii="Arial" w:hAnsi="Arial"/>
                <w:color w:val="000000"/>
                <w:sz w:val="18"/>
                <w:szCs w:val="18"/>
                <w:lang w:eastAsia="es-ES"/>
              </w:rPr>
              <w:t>91</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2,540</w:t>
            </w:r>
          </w:p>
        </w:tc>
      </w:tr>
      <w:tr>
        <w:trPr>
          <w:trHeight w:val="398" w:hRule="atLeast"/>
        </w:trPr>
        <w:tc>
          <w:tcPr>
            <w:tcW w:w="1836"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w:t>
            </w:r>
            <w:r>
              <w:rPr>
                <w:rFonts w:eastAsia="Times New Roman" w:cs="Arial" w:ascii="Arial" w:hAnsi="Arial"/>
                <w:color w:val="000000"/>
                <w:sz w:val="18"/>
                <w:szCs w:val="18"/>
                <w:lang w:eastAsia="es-ES"/>
              </w:rPr>
              <w:t>513</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w:t>
            </w:r>
            <w:r>
              <w:rPr>
                <w:rFonts w:eastAsia="Times New Roman" w:cs="Arial" w:ascii="Arial" w:hAnsi="Arial"/>
                <w:color w:val="000000"/>
                <w:sz w:val="18"/>
                <w:szCs w:val="18"/>
                <w:lang w:eastAsia="es-ES"/>
              </w:rPr>
              <w:t>68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w:t>
            </w:r>
            <w:r>
              <w:rPr>
                <w:rFonts w:eastAsia="Times New Roman" w:cs="Arial" w:ascii="Arial" w:hAnsi="Arial"/>
                <w:color w:val="000000"/>
                <w:sz w:val="18"/>
                <w:szCs w:val="18"/>
                <w:lang w:eastAsia="es-ES"/>
              </w:rPr>
              <w:t>73</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w:t>
            </w:r>
            <w:r>
              <w:rPr>
                <w:rFonts w:eastAsia="Times New Roman" w:cs="Arial" w:ascii="Arial" w:hAnsi="Arial"/>
                <w:color w:val="000000"/>
                <w:sz w:val="18"/>
                <w:szCs w:val="18"/>
                <w:lang w:eastAsia="es-ES"/>
              </w:rPr>
              <w:t>93</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w:t>
            </w:r>
            <w:r>
              <w:rPr>
                <w:rFonts w:eastAsia="Times New Roman" w:cs="Arial" w:ascii="Arial" w:hAnsi="Arial"/>
                <w:color w:val="000000"/>
                <w:sz w:val="18"/>
                <w:szCs w:val="18"/>
                <w:lang w:eastAsia="es-ES"/>
              </w:rPr>
              <w:t>27</w:t>
            </w:r>
          </w:p>
        </w:tc>
      </w:tr>
      <w:tr>
        <w:trPr>
          <w:trHeight w:val="398" w:hRule="atLeast"/>
        </w:trPr>
        <w:tc>
          <w:tcPr>
            <w:tcW w:w="1836"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2,737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2,025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w:t>
            </w:r>
            <w:r>
              <w:rPr>
                <w:rFonts w:eastAsia="Times New Roman" w:cs="Arial" w:ascii="Arial" w:hAnsi="Arial"/>
                <w:color w:val="000000"/>
                <w:sz w:val="18"/>
                <w:szCs w:val="18"/>
                <w:lang w:eastAsia="es-ES"/>
              </w:rPr>
              <w:t>8</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w:t>
            </w:r>
            <w:r>
              <w:rPr>
                <w:rFonts w:eastAsia="Times New Roman" w:cs="Arial" w:ascii="Arial" w:hAnsi="Arial"/>
                <w:color w:val="000000"/>
                <w:sz w:val="18"/>
                <w:szCs w:val="18"/>
                <w:lang w:eastAsia="es-ES"/>
              </w:rPr>
              <w:t>8</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3,051</w:t>
            </w:r>
          </w:p>
        </w:tc>
      </w:tr>
      <w:tr>
        <w:trPr>
          <w:trHeight w:val="398" w:hRule="atLeast"/>
        </w:trPr>
        <w:tc>
          <w:tcPr>
            <w:tcW w:w="1836"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3,497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2,111</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830</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3,811</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Arequipa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Colca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01 noche de alojamiento en Valle Sagrado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10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ciudad de Arequipa &amp; Convento de Santa Catalina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Cañón del Colca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en servicio regular Colca – Puno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Isla de los Uros y Taquile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 xml:space="preserve">Bus en servicio regular Puno – Cusco “Ruta del Sol” </w:t>
      </w:r>
      <w:r>
        <w:rPr>
          <w:rFonts w:eastAsia="Arial" w:cs="Arial" w:ascii="Arial" w:hAnsi="Arial"/>
          <w:b/>
          <w:i/>
          <w:color w:val="000000" w:themeColor="text1"/>
          <w:sz w:val="18"/>
          <w:szCs w:val="18"/>
        </w:rPr>
        <w:t>con almuerzo (no incluye bebidas)</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Arequipa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Normal"/>
        <w:spacing w:lineRule="auto" w:line="240" w:before="0" w:after="0"/>
        <w:jc w:val="center"/>
        <w:rPr>
          <w:rFonts w:ascii="Arial" w:hAnsi="Arial" w:eastAsia="Times New Roman" w:cs="Arial"/>
          <w:color w:val="000000" w:themeColor="text1"/>
          <w:sz w:val="18"/>
          <w:szCs w:val="18"/>
          <w:lang w:val="es-ES_tradnl"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2026</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Toda anulación implica gastos de cancelación del 15% del costo total de la reservación.</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De 49 a 30 días antes de la fecha de salida aplica 35% del costo total de la reservación.</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 xml:space="preserve">De 29 a 15 días antes de la fecha de salida aplica 60% del costo total de la reservación. </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Entre 15 y 0 días antes de la fecha de salida aplica 100% de cargos del costo total de la reservación por persona.</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NO SHOW aplican cargos del 100% de cargos del costo total de la reservación por persona</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7"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3">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9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3.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2.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F8D8B91-DDC0-44A9-92E4-033D37EE0EDC}"/>
</file>

<file path=docProps/app.xml><?xml version="1.0" encoding="utf-8"?>
<Properties xmlns="http://schemas.openxmlformats.org/officeDocument/2006/extended-properties" xmlns:vt="http://schemas.openxmlformats.org/officeDocument/2006/docPropsVTypes">
  <Template>Normal</Template>
  <TotalTime>47</TotalTime>
  <Application>LibreOffice/7.3.5.2$Windows_X86_64 LibreOffice_project/184fe81b8c8c30d8b5082578aee2fed2ea847c01</Application>
  <AppVersion>15.0000</AppVersion>
  <Pages>6</Pages>
  <Words>3157</Words>
  <Characters>16156</Characters>
  <CharactersWithSpaces>19220</CharactersWithSpaces>
  <Paragraphs>243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2023-10-25T17:26:00Z</dcterms:created>
  <dc:creator>Nan Lara</dc:creator>
  <dc:description/>
  <dc:language>es-MX</dc:language>
  <cp:lastModifiedBy/>
  <cp:lastPrinted>2023-12-12T23:07:00Z</cp:lastPrinted>
  <dcterms:modified xsi:type="dcterms:W3CDTF">2025-02-11T16:23:51Z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