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5.gif" ContentType="image/gif"/>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4" w:topFromText="0" w:vertAnchor="text"/>
        <w:tblW w:w="982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824"/>
      </w:tblGrid>
      <w:tr>
        <w:trPr>
          <w:trHeight w:val="386" w:hRule="atLeast"/>
          <w:cnfStyle w:val="100000000000" w:firstRow="1" w:lastRow="0" w:firstColumn="0" w:lastColumn="0" w:oddVBand="0" w:evenVBand="0" w:oddHBand="0" w:evenHBand="0" w:firstRowFirstColumn="0" w:firstRowLastColumn="0" w:lastRowFirstColumn="0" w:lastRowLastColumn="0"/>
        </w:trPr>
        <w:tc>
          <w:tcPr>
            <w:tcW w:w="9824"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Spacing"/>
              <w:widowControl w:val="false"/>
              <w:suppressAutoHyphens w:val="true"/>
              <w:spacing w:before="0" w:after="0"/>
              <w:jc w:val="right"/>
              <w:rPr>
                <w:rFonts w:ascii="Arial" w:hAnsi="Arial" w:cs="Arial"/>
                <w:color w:val="E36C0A" w:themeColor="accent6" w:themeShade="bf"/>
                <w:sz w:val="40"/>
                <w:szCs w:val="40"/>
                <w:lang w:val="es-MX" w:eastAsia="es-ES"/>
              </w:rPr>
            </w:pPr>
            <w:r>
              <w:rPr>
                <w:rFonts w:cs="Arial" w:ascii="Arial" w:hAnsi="Arial"/>
                <w:b/>
                <w:bCs/>
                <w:color w:val="E36C0A" w:themeColor="accent6" w:themeShade="bf"/>
                <w:kern w:val="0"/>
                <w:sz w:val="40"/>
                <w:szCs w:val="40"/>
                <w:lang w:val="es-MX" w:eastAsia="es-ES" w:bidi="ar-SA"/>
              </w:rPr>
              <w:t>EXÓTICO INVIERNO AL CONTACTO DE LA NATURALEZA</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pPr w:bottomFromText="0" w:horzAnchor="margin" w:leftFromText="141" w:rightFromText="141" w:tblpX="0" w:tblpXSpec="center" w:tblpY="52" w:topFromText="0" w:vertAnchor="text"/>
        <w:tblW w:w="982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72"/>
        <w:gridCol w:w="8353"/>
      </w:tblGrid>
      <w:tr>
        <w:trPr>
          <w:trHeight w:val="255" w:hRule="atLeast"/>
        </w:trPr>
        <w:tc>
          <w:tcPr>
            <w:tcW w:w="1472" w:type="dxa"/>
            <w:tcBorders>
              <w:top w:val="single" w:sz="4" w:space="0" w:color="E36C0A"/>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353" w:type="dxa"/>
            <w:tcBorders>
              <w:top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cs="Arial" w:ascii="Arial" w:hAnsi="Arial"/>
                <w:b/>
                <w:bCs/>
                <w:sz w:val="18"/>
                <w:szCs w:val="18"/>
              </w:rPr>
              <w:t>Toronto</w:t>
            </w:r>
            <w:r>
              <w:rPr>
                <w:rFonts w:eastAsia="Times New Roman" w:cs="Arial" w:ascii="Arial" w:hAnsi="Arial"/>
                <w:b/>
                <w:bCs/>
                <w:sz w:val="18"/>
                <w:szCs w:val="18"/>
                <w:lang w:eastAsia="es-ES"/>
              </w:rPr>
              <w:t xml:space="preserve"> – </w:t>
            </w:r>
            <w:r>
              <w:rPr>
                <w:rFonts w:cs="Arial" w:ascii="Arial" w:hAnsi="Arial"/>
                <w:b/>
                <w:bCs/>
                <w:sz w:val="18"/>
                <w:szCs w:val="18"/>
              </w:rPr>
              <w:t>Niágara – Ottawa – Quebec – Montreal –</w:t>
            </w:r>
            <w:r>
              <w:rPr>
                <w:rFonts w:eastAsia="Times New Roman" w:cs="Arial" w:ascii="Arial" w:hAnsi="Arial"/>
                <w:b/>
                <w:bCs/>
                <w:sz w:val="18"/>
                <w:szCs w:val="18"/>
                <w:lang w:val="es-MX" w:eastAsia="es-MX"/>
              </w:rPr>
              <w:t xml:space="preserve"> Saint-Hippolyte - Montreal</w:t>
            </w:r>
          </w:p>
        </w:tc>
      </w:tr>
      <w:tr>
        <w:trPr>
          <w:trHeight w:val="255" w:hRule="atLeast"/>
        </w:trPr>
        <w:tc>
          <w:tcPr>
            <w:tcW w:w="1472"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353" w:type="dxa"/>
            <w:tcBorders>
              <w:bottom w:val="single" w:sz="4" w:space="0" w:color="FDE9D9"/>
              <w:right w:val="single" w:sz="4" w:space="0" w:color="C65911"/>
            </w:tcBorders>
            <w:shd w:color="auto" w:fill="FDE9D9" w:themeFill="accent6" w:themeFillTint="33" w:val="clear"/>
            <w:vAlign w:val="center"/>
          </w:tcPr>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color w:val="FF0000"/>
                <w:sz w:val="18"/>
                <w:szCs w:val="18"/>
                <w:lang w:val="es-MX" w:eastAsia="es-MX"/>
              </w:rPr>
              <w:t>Domingos</w:t>
            </w:r>
          </w:p>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Diciembre 08, 2024 al 13 de Abril, 2025</w:t>
            </w:r>
          </w:p>
        </w:tc>
      </w:tr>
      <w:tr>
        <w:trPr>
          <w:trHeight w:val="255" w:hRule="atLeast"/>
        </w:trPr>
        <w:tc>
          <w:tcPr>
            <w:tcW w:w="1472"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353" w:type="dxa"/>
            <w:tcBorders>
              <w:top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10 días / 09 noches</w:t>
            </w:r>
          </w:p>
        </w:tc>
      </w:tr>
      <w:tr>
        <w:trPr>
          <w:trHeight w:val="255" w:hRule="atLeast"/>
        </w:trPr>
        <w:tc>
          <w:tcPr>
            <w:tcW w:w="1472" w:type="dxa"/>
            <w:tcBorders>
              <w:left w:val="single" w:sz="4" w:space="0" w:color="C65911"/>
              <w:bottom w:val="single" w:sz="4" w:space="0" w:color="E36C0A"/>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353" w:type="dxa"/>
            <w:tcBorders>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09 desayunos</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drawing>
          <wp:anchor behindDoc="0" distT="0" distB="0" distL="0" distR="0" simplePos="0" locked="0" layoutInCell="0" allowOverlap="1" relativeHeight="11">
            <wp:simplePos x="0" y="0"/>
            <wp:positionH relativeFrom="column">
              <wp:posOffset>2118360</wp:posOffset>
            </wp:positionH>
            <wp:positionV relativeFrom="paragraph">
              <wp:posOffset>26035</wp:posOffset>
            </wp:positionV>
            <wp:extent cx="2310130" cy="158940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2310130" cy="1589405"/>
                    </a:xfrm>
                    <a:prstGeom prst="rect">
                      <a:avLst/>
                    </a:prstGeom>
                  </pic:spPr>
                </pic:pic>
              </a:graphicData>
            </a:graphic>
          </wp:anchor>
        </w:drawing>
      </w:r>
    </w:p>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drawing>
          <wp:anchor behindDoc="0" distT="0" distB="0" distL="0" distR="0" simplePos="0" locked="0" layoutInCell="0" allowOverlap="1" relativeHeight="10">
            <wp:simplePos x="0" y="0"/>
            <wp:positionH relativeFrom="column">
              <wp:posOffset>-158115</wp:posOffset>
            </wp:positionH>
            <wp:positionV relativeFrom="paragraph">
              <wp:posOffset>12065</wp:posOffset>
            </wp:positionV>
            <wp:extent cx="2224405" cy="154559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2224405" cy="1545590"/>
                    </a:xfrm>
                    <a:prstGeom prst="rect">
                      <a:avLst/>
                    </a:prstGeom>
                  </pic:spPr>
                </pic:pic>
              </a:graphicData>
            </a:graphic>
          </wp:anchor>
        </w:drawing>
        <w:drawing>
          <wp:anchor behindDoc="0" distT="0" distB="0" distL="0" distR="0" simplePos="0" locked="0" layoutInCell="0" allowOverlap="1" relativeHeight="12">
            <wp:simplePos x="0" y="0"/>
            <wp:positionH relativeFrom="column">
              <wp:posOffset>4472305</wp:posOffset>
            </wp:positionH>
            <wp:positionV relativeFrom="paragraph">
              <wp:posOffset>21590</wp:posOffset>
            </wp:positionV>
            <wp:extent cx="2061210" cy="153606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2061210" cy="1536065"/>
                    </a:xfrm>
                    <a:prstGeom prst="rect">
                      <a:avLst/>
                    </a:prstGeom>
                  </pic:spPr>
                </pic:pic>
              </a:graphicData>
            </a:graphic>
          </wp:anchor>
        </w:drawing>
      </w:r>
    </w:p>
    <w:p>
      <w:pPr>
        <w:pStyle w:val="Normal"/>
        <w:spacing w:lineRule="auto" w:line="240" w:before="0" w:after="0"/>
        <w:jc w:val="center"/>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sz w:val="8"/>
          <w:szCs w:val="10"/>
          <w:lang w:val="es-ES_tradnl" w:eastAsia="es-ES"/>
        </w:rPr>
      </w:pPr>
      <w:r>
        <w:rPr>
          <w:rFonts w:eastAsia="Times New Roman" w:cs="Arial" w:ascii="Arial" w:hAnsi="Arial"/>
          <w:b/>
          <w:sz w:val="8"/>
          <w:szCs w:val="10"/>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w:t>
        <w:tab/>
        <w:t>Toronto</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t>Bienvenidos a Toronto. Traslado del aeropuerto al hotel. Tiempo libre para explorar la ciudad. Alojamiento en Toronto. </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2</w:t>
        <w:tab/>
        <w:t xml:space="preserve">Toronto – Niagara </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b/>
          <w:bCs/>
          <w:i/>
          <w:iCs/>
          <w:sz w:val="18"/>
          <w:szCs w:val="18"/>
          <w:u w:val="single"/>
        </w:rPr>
        <w:t>Desayuno</w:t>
      </w:r>
      <w:r>
        <w:rPr>
          <w:rFonts w:cs="Arial" w:ascii="Arial" w:hAnsi="Arial"/>
          <w:i/>
          <w:iCs/>
          <w:sz w:val="18"/>
          <w:szCs w:val="18"/>
          <w:u w:val="single"/>
        </w:rPr>
        <w:t>.</w:t>
      </w:r>
      <w:r>
        <w:rPr>
          <w:rFonts w:cs="Arial" w:ascii="Arial" w:hAnsi="Arial"/>
          <w:sz w:val="18"/>
          <w:szCs w:val="18"/>
        </w:rPr>
        <w:t xml:space="preserve"> </w:t>
      </w:r>
      <w:r>
        <w:rPr>
          <w:rFonts w:cs="Arial" w:ascii="Arial" w:hAnsi="Arial"/>
          <w:color w:val="000000" w:themeColor="text1"/>
          <w:sz w:val="18"/>
          <w:szCs w:val="18"/>
        </w:rPr>
        <w:t>El recorrido empieza visitando Toronto, capital económica del país: recorrido por el antiguo y nuevo City Hall, el Parlamento, el Barrio Chino, la Universidad de Toronto, la Torre CN (subida NO incluida) y el Ontario Place. Continuaremos nuestro paseo para llegar a las Cataratas del Niágara. En ciertas fechas se pueden ver las cataratas congeladas, un espectáculo fantástico por los reflejos que produce el hielo. Tome el tiempo de caminar por la noche y ver las cataratas iluminadas. Tiempo libre para explorar Niágara. Alojamiento en la ciudad de Niágara.</w:t>
      </w:r>
    </w:p>
    <w:p>
      <w:pPr>
        <w:pStyle w:val="Normal"/>
        <w:spacing w:lineRule="auto" w:line="240" w:before="0" w:after="0"/>
        <w:jc w:val="both"/>
        <w:rPr>
          <w:rFonts w:ascii="Arial" w:hAnsi="Arial" w:cs="Arial"/>
          <w:b/>
          <w:b/>
          <w:sz w:val="18"/>
          <w:szCs w:val="18"/>
        </w:rPr>
      </w:pPr>
      <w:r>
        <w:rPr>
          <w:rFonts w:cs="Arial" w:ascii="Arial" w:hAnsi="Arial"/>
          <w:b/>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3</w:t>
        <w:tab/>
        <w:t xml:space="preserve">Niagara – Mil Islas – Ottawa   </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b/>
          <w:i/>
          <w:color w:val="000000" w:themeColor="text1"/>
          <w:sz w:val="18"/>
          <w:szCs w:val="18"/>
          <w:u w:val="single"/>
          <w:lang w:val="es-ES_tradnl"/>
        </w:rPr>
        <w:t xml:space="preserve">Desayuno. </w:t>
      </w:r>
      <w:r>
        <w:rPr>
          <w:rFonts w:cs="Arial" w:ascii="Arial" w:hAnsi="Arial"/>
          <w:color w:val="000000" w:themeColor="text1"/>
          <w:sz w:val="18"/>
          <w:szCs w:val="18"/>
        </w:rPr>
        <w:t>El recorrido de nuestro tour continúa hacia Mil Islas, zona natural donde pueden ver diferentes Islas. A continuación, salida con dirección a Ottawa, la capital de Canadá. Podrán apreciar el Parlamento de Canadá, la Residencia del Primer Ministro, la Residencia del Gobernador General y otros edificios del Gobierno. Al final del recorrido, podrán visitar el Mercado Byward. En ciertas fechas se puede ver el Canal Rideau congelado, una verdadera pista de patinaje al aire libre. Tiempo libre por la noche. Alojamiento en Ottawa.</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4 </w:t>
        <w:tab/>
        <w:t xml:space="preserve">Ottawa – Quebec </w:t>
      </w:r>
    </w:p>
    <w:p>
      <w:pPr>
        <w:pStyle w:val="NormalWeb"/>
        <w:spacing w:beforeAutospacing="0" w:before="0" w:afterAutospacing="0" w:after="0"/>
        <w:jc w:val="both"/>
        <w:textAlignment w:val="baseline"/>
        <w:rPr>
          <w:rFonts w:ascii="Arial" w:hAnsi="Arial" w:cs="Arial"/>
          <w:color w:val="000000" w:themeColor="text1"/>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w:t>
      </w:r>
      <w:r>
        <w:rPr>
          <w:rFonts w:cs="Arial" w:ascii="Arial" w:hAnsi="Arial"/>
          <w:color w:val="000000" w:themeColor="text1"/>
          <w:sz w:val="18"/>
          <w:szCs w:val="18"/>
        </w:rPr>
        <w:t>Por la mañana, salida hacia la ciudad de Quebec, la ciudad más antigua de Canadá y declarada Patrimonio cultural de la Humanidad por la UNESCO. Haremos una parada en el Hotel de Hielo (del 5 de enero al 9 de marzo) un lugar único en América construido con toneladas de nieve y hielo, tendrán la oportunidad de visitar este sitio espectacular (resto de salidas, la actividad se reemplaza por Journey Behind the Falls en Niágara). </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t>Alojamiento en Quebec.</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r>
    </w:p>
    <w:p>
      <w:pPr>
        <w:pStyle w:val="NormalWeb"/>
        <w:spacing w:beforeAutospacing="0" w:before="0" w:afterAutospacing="0" w:after="0"/>
        <w:jc w:val="both"/>
        <w:textAlignment w:val="baseline"/>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es posible alojarse una noche en el hotel de hielo en las fechas aplicables. Consultar tabla de suplementos para más detalle.</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5</w:t>
        <w:tab/>
        <w:t xml:space="preserve">Quebec </w:t>
      </w:r>
    </w:p>
    <w:p>
      <w:pPr>
        <w:pStyle w:val="NormalWeb"/>
        <w:spacing w:beforeAutospacing="0" w:before="0" w:afterAutospacing="0" w:after="0"/>
        <w:jc w:val="both"/>
        <w:textAlignment w:val="baseline"/>
        <w:rPr>
          <w:rFonts w:ascii="Arial" w:hAnsi="Arial" w:cs="Arial"/>
          <w:color w:val="707070"/>
          <w:sz w:val="18"/>
          <w:szCs w:val="18"/>
        </w:rPr>
      </w:pPr>
      <w:r>
        <w:rPr>
          <w:rStyle w:val="Normaltextrun"/>
          <w:rFonts w:cs="Arial" w:ascii="Arial" w:hAnsi="Arial"/>
          <w:b/>
          <w:bCs/>
          <w:i/>
          <w:iCs/>
          <w:color w:val="000000"/>
          <w:sz w:val="18"/>
          <w:szCs w:val="18"/>
          <w:u w:val="single"/>
          <w:shd w:fill="FFFFFF" w:val="clear"/>
        </w:rPr>
        <w:t xml:space="preserve">Desayuno. </w:t>
      </w:r>
      <w:r>
        <w:rPr>
          <w:rStyle w:val="Normaltextrun"/>
          <w:rFonts w:cs="Arial" w:ascii="Arial" w:hAnsi="Arial"/>
          <w:color w:val="000000" w:themeColor="text1"/>
          <w:sz w:val="18"/>
          <w:szCs w:val="18"/>
          <w:shd w:fill="FFFFFF" w:val="clear"/>
        </w:rPr>
        <w:t>P</w:t>
      </w:r>
      <w:r>
        <w:rPr>
          <w:rFonts w:cs="Arial" w:ascii="Arial" w:hAnsi="Arial"/>
          <w:color w:val="000000" w:themeColor="text1"/>
          <w:sz w:val="18"/>
          <w:szCs w:val="18"/>
        </w:rPr>
        <w:t>or la mañana, visita de la ciudad de Quebec. Recorrido por la Plaza de Armas, la Plaza Real, el barrio Petit Champlain, el Parlamento de Quebec, la Terraza Dufferin, el Castillo Frontenac, las calles Saint-Jean y Grande-Allée y el Viejo Puerto. Tarde libre en Quebec (sin transporte) o excursiones opcionales.  Alojamiento en Quebec.</w:t>
      </w:r>
    </w:p>
    <w:p>
      <w:pPr>
        <w:pStyle w:val="NormalWeb"/>
        <w:spacing w:beforeAutospacing="0" w:before="0" w:afterAutospacing="0" w:after="0"/>
        <w:jc w:val="both"/>
        <w:textAlignment w:val="baseline"/>
        <w:rPr>
          <w:rFonts w:ascii="Arial" w:hAnsi="Arial" w:cs="Arial"/>
          <w:i/>
          <w:i/>
          <w:iCs/>
          <w:color w:val="595959" w:themeColor="text1" w:themeTint="a6"/>
          <w:sz w:val="18"/>
          <w:szCs w:val="18"/>
        </w:rPr>
      </w:pPr>
      <w:r>
        <w:rPr>
          <w:rFonts w:cs="Arial" w:ascii="Arial" w:hAnsi="Arial"/>
          <w:i/>
          <w:iCs/>
          <w:color w:val="595959" w:themeColor="text1" w:themeTint="a6"/>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6</w:t>
        <w:tab/>
        <w:t xml:space="preserve"> Quebec – Montreal </w:t>
      </w:r>
    </w:p>
    <w:p>
      <w:pPr>
        <w:pStyle w:val="NormalWeb"/>
        <w:spacing w:beforeAutospacing="0" w:before="0" w:afterAutospacing="0" w:after="75"/>
        <w:jc w:val="both"/>
        <w:textAlignment w:val="baseline"/>
        <w:rPr>
          <w:rFonts w:ascii="Arial" w:hAnsi="Arial" w:cs="Arial"/>
          <w:color w:val="000000" w:themeColor="text1"/>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b/>
          <w:bCs/>
          <w:i/>
          <w:iCs/>
          <w:color w:val="000000" w:themeColor="text1"/>
          <w:sz w:val="18"/>
          <w:szCs w:val="18"/>
          <w:u w:val="single"/>
          <w:shd w:fill="FFFFFF" w:val="clear"/>
        </w:rPr>
        <w:t>.</w:t>
      </w:r>
      <w:r>
        <w:rPr>
          <w:rStyle w:val="Normaltextrun"/>
          <w:rFonts w:cs="Arial" w:ascii="Arial" w:hAnsi="Arial"/>
          <w:color w:val="000000" w:themeColor="text1"/>
          <w:sz w:val="18"/>
          <w:szCs w:val="18"/>
          <w:shd w:fill="FFFFFF" w:val="clear"/>
        </w:rPr>
        <w:t> </w:t>
      </w:r>
      <w:r>
        <w:rPr>
          <w:rFonts w:cs="Arial" w:ascii="Arial" w:hAnsi="Arial"/>
          <w:color w:val="000000" w:themeColor="text1"/>
          <w:sz w:val="18"/>
          <w:szCs w:val="18"/>
        </w:rPr>
        <w:t>Salida hacia Montreal, la segunda ciudad francófona después de París. Llegada a Montreal. Visita de la ciudad de Montreal pasando por el barrio histórico llamado Vieux-Montreal, la basílica Notre-Dame (entrada no incluida), el parque del Mont-Royal, la red subterránea de túneles y galerías que unen más de 2000 tiendas, restaurantes, museos, universidades y edificios del centro de la ciudad. Alojamiento en Montreal.</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sz w:val="18"/>
          <w:szCs w:val="18"/>
        </w:rPr>
      </w:pPr>
      <w:r>
        <w:rPr>
          <w:rFonts w:eastAsia="Times New Roman" w:cs="Arial" w:ascii="Arial" w:hAnsi="Arial"/>
          <w:b/>
          <w:color w:val="E36C0A" w:themeColor="accent6" w:themeShade="bf"/>
          <w:sz w:val="18"/>
          <w:szCs w:val="18"/>
          <w:lang w:val="es-ES_tradnl" w:eastAsia="es-ES"/>
        </w:rPr>
        <w:t>Día 7</w:t>
        <w:tab/>
        <w:t xml:space="preserve"> Montreal </w:t>
      </w:r>
    </w:p>
    <w:p>
      <w:pPr>
        <w:pStyle w:val="NormalWeb"/>
        <w:spacing w:beforeAutospacing="0" w:before="0" w:afterAutospacing="0" w:after="75"/>
        <w:jc w:val="both"/>
        <w:textAlignment w:val="baseline"/>
        <w:rPr>
          <w:rFonts w:ascii="Arial" w:hAnsi="Arial" w:cs="Arial"/>
          <w:color w:val="707070"/>
          <w:sz w:val="18"/>
          <w:szCs w:val="18"/>
        </w:rPr>
      </w:pPr>
      <w:r>
        <w:rPr>
          <w:rStyle w:val="Normaltextrun"/>
          <w:rFonts w:cs="Arial" w:ascii="Arial" w:hAnsi="Arial"/>
          <w:b/>
          <w:bCs/>
          <w:i/>
          <w:iCs/>
          <w:color w:val="000000" w:themeColor="text1"/>
          <w:sz w:val="18"/>
          <w:szCs w:val="18"/>
          <w:u w:val="single"/>
          <w:shd w:fill="FFFFFF" w:val="clear"/>
        </w:rPr>
        <w:t>Desayuno.</w:t>
      </w:r>
      <w:r>
        <w:rPr>
          <w:rStyle w:val="Normaltextrun"/>
          <w:rFonts w:cs="Arial" w:ascii="Arial" w:hAnsi="Arial"/>
          <w:color w:val="000000" w:themeColor="text1"/>
          <w:sz w:val="18"/>
          <w:szCs w:val="18"/>
          <w:shd w:fill="FFFFFF" w:val="clear"/>
        </w:rPr>
        <w:t xml:space="preserve"> </w:t>
      </w:r>
      <w:r>
        <w:rPr>
          <w:rFonts w:cs="Arial" w:ascii="Arial" w:hAnsi="Arial"/>
          <w:color w:val="000000" w:themeColor="text1"/>
          <w:sz w:val="18"/>
          <w:szCs w:val="18"/>
        </w:rPr>
        <w:t>Día libre en Montreal (sin transporte o excursiones opcionales). Alojamiento en Montreal.</w:t>
      </w:r>
    </w:p>
    <w:p>
      <w:pPr>
        <w:pStyle w:val="NormalWeb"/>
        <w:spacing w:beforeAutospacing="0" w:before="0" w:afterAutospacing="0" w:after="75"/>
        <w:textAlignment w:val="baseline"/>
        <w:rPr>
          <w:rFonts w:ascii="Arial" w:hAnsi="Arial" w:cs="Arial"/>
          <w:color w:val="707070"/>
          <w:sz w:val="18"/>
          <w:szCs w:val="18"/>
        </w:rPr>
      </w:pPr>
      <w:r>
        <w:rPr>
          <w:rFonts w:cs="Arial" w:ascii="Arial" w:hAnsi="Arial"/>
          <w:color w:val="707070"/>
          <w:sz w:val="18"/>
          <w:szCs w:val="18"/>
        </w:rPr>
      </w:r>
    </w:p>
    <w:p>
      <w:pPr>
        <w:pStyle w:val="NormalWeb"/>
        <w:spacing w:beforeAutospacing="0" w:before="0" w:afterAutospacing="0" w:after="0"/>
        <w:textAlignment w:val="baseline"/>
        <w:rPr>
          <w:rFonts w:ascii="Arial" w:hAnsi="Arial" w:cs="Arial"/>
          <w:color w:val="000000" w:themeColor="text1"/>
          <w:sz w:val="18"/>
          <w:szCs w:val="18"/>
        </w:rPr>
      </w:pPr>
      <w:r>
        <w:rPr>
          <w:rFonts w:cs="Arial" w:ascii="Arial" w:hAnsi="Arial"/>
          <w:b/>
          <w:color w:val="E36C0A" w:themeColor="accent6" w:themeShade="bf"/>
          <w:sz w:val="18"/>
          <w:szCs w:val="18"/>
          <w:lang w:val="es-ES_tradnl"/>
        </w:rPr>
        <w:t>Día 8</w:t>
        <w:tab/>
        <w:t xml:space="preserve"> Montreal – Saint-Hippolyte</w:t>
      </w:r>
    </w:p>
    <w:p>
      <w:pPr>
        <w:pStyle w:val="NormalWeb"/>
        <w:spacing w:beforeAutospacing="0" w:before="0" w:afterAutospacing="0" w:after="0"/>
        <w:jc w:val="both"/>
        <w:textAlignment w:val="baseline"/>
        <w:rPr>
          <w:rFonts w:ascii="Arial" w:hAnsi="Arial" w:cs="Arial"/>
          <w:color w:val="000000" w:themeColor="text1"/>
          <w:sz w:val="18"/>
          <w:szCs w:val="18"/>
        </w:rPr>
      </w:pPr>
      <w:r>
        <w:rPr>
          <w:rStyle w:val="Normaltextrun"/>
          <w:rFonts w:cs="Arial" w:ascii="Arial" w:hAnsi="Arial"/>
          <w:b/>
          <w:bCs/>
          <w:i/>
          <w:iCs/>
          <w:color w:val="000000" w:themeColor="text1"/>
          <w:sz w:val="18"/>
          <w:szCs w:val="18"/>
          <w:u w:val="single"/>
          <w:shd w:fill="FFFFFF" w:val="clear"/>
        </w:rPr>
        <w:t>Desayuno.</w:t>
      </w:r>
      <w:r>
        <w:rPr>
          <w:rStyle w:val="Normaltextrun"/>
          <w:rFonts w:cs="Arial" w:ascii="Arial" w:hAnsi="Arial"/>
          <w:color w:val="000000" w:themeColor="text1"/>
          <w:sz w:val="18"/>
          <w:szCs w:val="18"/>
          <w:shd w:fill="FFFFFF" w:val="clear"/>
        </w:rPr>
        <w:t xml:space="preserve"> A la hora convenida, traslado de su hotel hacia el resort. Que sea una escapada en la naturaleza, un fin de semana romántico, unas vacaciones en familia,todas las razones son buenas para disfrutar del Auberge du Lac Morency. Ubicado en el corazón de los Montes Laurentinos, este majestuoso resort es unlugar donde se mezcla aventura y relajación. El Auberge Morency es sinónimo de comodidad. Aquí el confort es fundamental, y sus habitaciones reflejan la tranquilidad que se busca en un ambiente relajado, no se puede pedir mejor. En cuanto a la gastronomía, es reconocido por su cocina en evolución y su refinamiento, sin olvidar su bodega reconocida por su variedad de vinos para todos los gustos.Les espera una experiencia única y inolvidable!</w:t>
      </w:r>
      <w:r>
        <w:rPr>
          <w:rFonts w:cs="Arial" w:ascii="Arial" w:hAnsi="Arial"/>
          <w:color w:val="000000" w:themeColor="text1"/>
          <w:sz w:val="18"/>
          <w:szCs w:val="18"/>
        </w:rPr>
        <w:t>. Alojamiento en Saint Hippolyte.</w:t>
      </w:r>
    </w:p>
    <w:p>
      <w:pPr>
        <w:pStyle w:val="NormalWeb"/>
        <w:spacing w:beforeAutospacing="0" w:before="0" w:afterAutospacing="0" w:after="0"/>
        <w:jc w:val="both"/>
        <w:textAlignment w:val="baseline"/>
        <w:rPr>
          <w:rFonts w:ascii="Arial" w:hAnsi="Arial" w:cs="Arial"/>
          <w:color w:val="000000" w:themeColor="text1"/>
          <w:sz w:val="18"/>
          <w:szCs w:val="18"/>
        </w:rPr>
      </w:pPr>
      <w:r>
        <w:rPr/>
      </w:r>
    </w:p>
    <w:p>
      <w:pPr>
        <w:pStyle w:val="NormalWeb"/>
        <w:spacing w:beforeAutospacing="0" w:before="0" w:afterAutospacing="0" w:after="0"/>
        <w:jc w:val="both"/>
        <w:textAlignment w:val="baseline"/>
        <w:rPr>
          <w:i/>
          <w:i/>
          <w:iCs/>
          <w:color w:val="666666"/>
        </w:rPr>
      </w:pPr>
      <w:r>
        <w:rPr>
          <w:rFonts w:cs="Arial" w:ascii="Arial" w:hAnsi="Arial"/>
          <w:i/>
          <w:iCs/>
          <w:color w:val="666666"/>
          <w:sz w:val="18"/>
          <w:szCs w:val="18"/>
        </w:rPr>
        <w:t>Nota:</w:t>
      </w:r>
      <w:r>
        <w:rPr>
          <w:rFonts w:cs="Arial" w:ascii="Arial" w:hAnsi="Arial"/>
          <w:i/>
          <w:iCs/>
          <w:color w:val="666666" w:themeTint="f2"/>
          <w:sz w:val="18"/>
          <w:szCs w:val="18"/>
          <w:lang w:eastAsia="es-ES"/>
        </w:rPr>
        <w:t>Los días 8, 9 y 10, sin asistencia de un guía en el resort.</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r>
    </w:p>
    <w:p>
      <w:pPr>
        <w:pStyle w:val="NormalWeb"/>
        <w:spacing w:beforeAutospacing="0" w:before="0" w:afterAutospacing="0" w:after="0"/>
        <w:textAlignment w:val="baseline"/>
        <w:rPr>
          <w:rFonts w:ascii="Arial" w:hAnsi="Arial" w:cs="Arial"/>
          <w:color w:val="000000" w:themeColor="text1"/>
          <w:sz w:val="18"/>
          <w:szCs w:val="18"/>
        </w:rPr>
      </w:pPr>
      <w:r>
        <w:rPr>
          <w:rFonts w:cs="Arial" w:ascii="Arial" w:hAnsi="Arial"/>
          <w:b/>
          <w:color w:val="E36C0A" w:themeColor="accent6" w:themeShade="bf"/>
          <w:sz w:val="18"/>
          <w:szCs w:val="18"/>
          <w:lang w:val="es-ES_tradnl"/>
        </w:rPr>
        <w:t>Día 9</w:t>
        <w:tab/>
        <w:t xml:space="preserve"> Saint-Hippolyte</w:t>
      </w:r>
    </w:p>
    <w:p>
      <w:pPr>
        <w:pStyle w:val="NormalWeb"/>
        <w:spacing w:beforeAutospacing="0" w:before="0" w:afterAutospacing="0" w:after="0"/>
        <w:jc w:val="both"/>
        <w:textAlignment w:val="baseline"/>
        <w:rPr>
          <w:rFonts w:ascii="Arial" w:hAnsi="Arial" w:cs="Arial"/>
          <w:color w:val="000000" w:themeColor="text1"/>
          <w:sz w:val="18"/>
          <w:szCs w:val="18"/>
        </w:rPr>
      </w:pPr>
      <w:r>
        <w:rPr>
          <w:rStyle w:val="Normaltextrun"/>
          <w:rFonts w:cs="Arial" w:ascii="Arial" w:hAnsi="Arial"/>
          <w:b/>
          <w:bCs/>
          <w:i/>
          <w:iCs/>
          <w:color w:val="000000" w:themeColor="text1"/>
          <w:sz w:val="18"/>
          <w:szCs w:val="18"/>
          <w:u w:val="single"/>
          <w:shd w:fill="FFFFFF" w:val="clear"/>
        </w:rPr>
        <w:t>Desayuno.</w:t>
      </w:r>
      <w:r>
        <w:rPr>
          <w:rStyle w:val="Normaltextrun"/>
          <w:rFonts w:cs="Arial" w:ascii="Arial" w:hAnsi="Arial"/>
          <w:color w:val="000000" w:themeColor="text1"/>
          <w:sz w:val="18"/>
          <w:szCs w:val="18"/>
          <w:shd w:fill="FFFFFF" w:val="clear"/>
        </w:rPr>
        <w:t xml:space="preserve"> Día para disfrutar de las instalaciones y equipamiento a su disposición en acceso libre: senderismo, piscinas (interior y exterior),raquetas de nieve y patinaje.</w:t>
      </w:r>
      <w:r>
        <w:rPr>
          <w:rFonts w:cs="Arial" w:ascii="Arial" w:hAnsi="Arial"/>
          <w:color w:val="000000" w:themeColor="text1"/>
          <w:sz w:val="18"/>
          <w:szCs w:val="18"/>
        </w:rPr>
        <w:t>. Alojamiento en Saint Hippolyte.</w:t>
      </w:r>
    </w:p>
    <w:p>
      <w:pPr>
        <w:pStyle w:val="NormalWeb"/>
        <w:spacing w:beforeAutospacing="0" w:before="0" w:afterAutospacing="0" w:after="0"/>
        <w:jc w:val="both"/>
        <w:textAlignment w:val="baseline"/>
        <w:rPr>
          <w:rFonts w:ascii="Arial" w:hAnsi="Arial" w:cs="Arial"/>
          <w:color w:val="000000" w:themeColor="text1"/>
          <w:sz w:val="18"/>
          <w:szCs w:val="18"/>
        </w:rPr>
      </w:pPr>
      <w:r>
        <w:rPr/>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i/>
          <w:iCs/>
          <w:color w:val="666666"/>
          <w:sz w:val="18"/>
          <w:szCs w:val="18"/>
        </w:rPr>
        <w:t>Nota:</w:t>
      </w:r>
      <w:r>
        <w:rPr>
          <w:rFonts w:cs="Arial" w:ascii="Arial" w:hAnsi="Arial"/>
          <w:i/>
          <w:iCs/>
          <w:color w:val="666666" w:themeTint="f2"/>
          <w:sz w:val="18"/>
          <w:szCs w:val="18"/>
          <w:lang w:eastAsia="es-ES"/>
        </w:rPr>
        <w:t>Los días 8, 9 y 10, sin asistencia de un guía en el resort.</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i/>
          <w:iCs/>
          <w:color w:val="666666"/>
          <w:sz w:val="18"/>
          <w:szCs w:val="18"/>
        </w:rPr>
      </w:r>
    </w:p>
    <w:p>
      <w:pPr>
        <w:pStyle w:val="NormalWeb"/>
        <w:spacing w:beforeAutospacing="0" w:before="0" w:afterAutospacing="0" w:after="0"/>
        <w:textAlignment w:val="baseline"/>
        <w:rPr>
          <w:rFonts w:ascii="Arial" w:hAnsi="Arial" w:cs="Arial"/>
          <w:color w:val="000000" w:themeColor="text1"/>
          <w:sz w:val="18"/>
          <w:szCs w:val="18"/>
        </w:rPr>
      </w:pPr>
      <w:r>
        <w:rPr>
          <w:rFonts w:cs="Arial" w:ascii="Arial" w:hAnsi="Arial"/>
          <w:b/>
          <w:color w:val="E36C0A" w:themeColor="accent6" w:themeShade="bf"/>
          <w:sz w:val="18"/>
          <w:szCs w:val="18"/>
          <w:lang w:val="es-ES_tradnl"/>
        </w:rPr>
        <w:t>Día 10</w:t>
        <w:tab/>
        <w:t xml:space="preserve"> Saint-Hippolyte – Montreal </w:t>
      </w:r>
    </w:p>
    <w:p>
      <w:pPr>
        <w:pStyle w:val="NormalWeb"/>
        <w:spacing w:beforeAutospacing="0" w:before="0" w:afterAutospacing="0" w:after="0"/>
        <w:jc w:val="both"/>
        <w:textAlignment w:val="baseline"/>
        <w:rPr>
          <w:rFonts w:ascii="Arial" w:hAnsi="Arial" w:cs="Arial"/>
          <w:color w:val="000000" w:themeColor="text1"/>
          <w:sz w:val="18"/>
          <w:szCs w:val="18"/>
        </w:rPr>
      </w:pPr>
      <w:r>
        <w:rPr>
          <w:rStyle w:val="Normaltextrun"/>
          <w:rFonts w:cs="Arial" w:ascii="Arial" w:hAnsi="Arial"/>
          <w:b/>
          <w:bCs/>
          <w:i/>
          <w:iCs/>
          <w:color w:val="000000" w:themeColor="text1"/>
          <w:sz w:val="18"/>
          <w:szCs w:val="18"/>
          <w:u w:val="single"/>
          <w:shd w:fill="FFFFFF" w:val="clear"/>
        </w:rPr>
        <w:t>Desayuno.</w:t>
      </w:r>
      <w:r>
        <w:rPr>
          <w:rStyle w:val="Normaltextrun"/>
          <w:rFonts w:cs="Arial" w:ascii="Arial" w:hAnsi="Arial"/>
          <w:color w:val="000000" w:themeColor="text1"/>
          <w:sz w:val="18"/>
          <w:szCs w:val="18"/>
          <w:shd w:fill="FFFFFF" w:val="clear"/>
        </w:rPr>
        <w:t xml:space="preserve"> Desayuno en el resort. A la hora convenida, traslado al aeropuerto de Montreal para su vuelo de regreso.</w:t>
      </w:r>
    </w:p>
    <w:p>
      <w:pPr>
        <w:pStyle w:val="NormalWeb"/>
        <w:spacing w:beforeAutospacing="0" w:before="0" w:afterAutospacing="0" w:after="0"/>
        <w:jc w:val="both"/>
        <w:textAlignment w:val="baseline"/>
        <w:rPr>
          <w:rFonts w:ascii="Arial" w:hAnsi="Arial" w:cs="Arial"/>
          <w:color w:val="000000" w:themeColor="text1"/>
          <w:sz w:val="18"/>
          <w:szCs w:val="18"/>
        </w:rPr>
      </w:pPr>
      <w:r>
        <w:rPr/>
      </w:r>
    </w:p>
    <w:p>
      <w:pPr>
        <w:pStyle w:val="NormalWeb"/>
        <w:spacing w:beforeAutospacing="0" w:before="0" w:afterAutospacing="0" w:after="0"/>
        <w:jc w:val="both"/>
        <w:textAlignment w:val="baseline"/>
        <w:rPr>
          <w:rFonts w:ascii="Arial" w:hAnsi="Arial" w:cs="Arial"/>
          <w:color w:val="000000" w:themeColor="text1"/>
          <w:sz w:val="18"/>
          <w:szCs w:val="18"/>
        </w:rPr>
      </w:pPr>
      <w:r>
        <w:rPr>
          <w:rStyle w:val="Normaltextrun"/>
          <w:rFonts w:cs="Arial" w:ascii="Arial" w:hAnsi="Arial"/>
          <w:i/>
          <w:iCs/>
          <w:color w:val="666666"/>
          <w:sz w:val="18"/>
          <w:szCs w:val="18"/>
          <w:shd w:fill="FFFFFF" w:val="clear"/>
        </w:rPr>
        <w:t>Nota:</w:t>
      </w:r>
      <w:r>
        <w:rPr>
          <w:rStyle w:val="Normaltextrun"/>
          <w:rFonts w:cs="Arial" w:ascii="Arial" w:hAnsi="Arial"/>
          <w:i/>
          <w:iCs/>
          <w:color w:val="666666" w:themeTint="f2"/>
          <w:sz w:val="18"/>
          <w:szCs w:val="18"/>
          <w:shd w:fill="FFFFFF" w:val="clear"/>
          <w:lang w:eastAsia="es-ES"/>
        </w:rPr>
        <w:t>Los días 8, 9 y 10, sin asistencia de un guía en el resort.</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pPr w:vertAnchor="text" w:horzAnchor="text" w:tblpXSpec="center" w:leftFromText="141" w:rightFromText="141" w:tblpY="1"/>
        <w:tblW w:w="5937"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563"/>
        <w:gridCol w:w="3034"/>
        <w:gridCol w:w="1340"/>
      </w:tblGrid>
      <w:tr>
        <w:trPr>
          <w:trHeight w:val="340" w:hRule="atLeast"/>
        </w:trPr>
        <w:tc>
          <w:tcPr>
            <w:tcW w:w="1563" w:type="dxa"/>
            <w:tcBorders>
              <w:top w:val="single" w:sz="4" w:space="0" w:color="E36C0A"/>
              <w:left w:val="single" w:sz="4" w:space="0" w:color="E36C0A"/>
              <w:bottom w:val="single" w:sz="4" w:space="0" w:color="E36C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CIUDAD</w:t>
            </w:r>
          </w:p>
        </w:tc>
        <w:tc>
          <w:tcPr>
            <w:tcW w:w="3034" w:type="dxa"/>
            <w:tcBorders>
              <w:top w:val="single" w:sz="4" w:space="0" w:color="E36C0A"/>
              <w:left w:val="single" w:sz="4" w:space="0" w:color="E36C0A"/>
              <w:bottom w:val="single" w:sz="4" w:space="0" w:color="E36C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HOTEL</w:t>
            </w:r>
          </w:p>
        </w:tc>
        <w:tc>
          <w:tcPr>
            <w:tcW w:w="1340" w:type="dxa"/>
            <w:tcBorders>
              <w:top w:val="single" w:sz="4" w:space="0" w:color="E36C0A"/>
              <w:left w:val="single" w:sz="4" w:space="0" w:color="E36C0A"/>
              <w:bottom w:val="single" w:sz="4" w:space="0" w:color="E36C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CATEGORÍA</w:t>
            </w:r>
          </w:p>
        </w:tc>
      </w:tr>
      <w:tr>
        <w:trPr>
          <w:trHeight w:val="340" w:hRule="atLeast"/>
        </w:trPr>
        <w:tc>
          <w:tcPr>
            <w:tcW w:w="1563"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Toronto</w:t>
            </w:r>
          </w:p>
        </w:tc>
        <w:tc>
          <w:tcPr>
            <w:tcW w:w="303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Chelsea Hotel</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r>
        <w:trPr>
          <w:trHeight w:val="340" w:hRule="atLeast"/>
        </w:trPr>
        <w:tc>
          <w:tcPr>
            <w:tcW w:w="1563"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Niágara</w:t>
            </w:r>
          </w:p>
        </w:tc>
        <w:tc>
          <w:tcPr>
            <w:tcW w:w="303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Crowne Plaza Niagara</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r>
        <w:trPr>
          <w:trHeight w:val="340" w:hRule="atLeast"/>
        </w:trPr>
        <w:tc>
          <w:tcPr>
            <w:tcW w:w="1563"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Ottawa</w:t>
            </w:r>
          </w:p>
        </w:tc>
        <w:tc>
          <w:tcPr>
            <w:tcW w:w="303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Courtyard Ottawa Downtown</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r>
        <w:trPr>
          <w:trHeight w:val="340" w:hRule="atLeast"/>
        </w:trPr>
        <w:tc>
          <w:tcPr>
            <w:tcW w:w="1563"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Quebec</w:t>
            </w:r>
          </w:p>
        </w:tc>
        <w:tc>
          <w:tcPr>
            <w:tcW w:w="303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Le Concorde</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r>
        <w:trPr>
          <w:trHeight w:val="340" w:hRule="atLeast"/>
        </w:trPr>
        <w:tc>
          <w:tcPr>
            <w:tcW w:w="1563"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Montreal</w:t>
            </w:r>
          </w:p>
          <w:p>
            <w:pPr>
              <w:pStyle w:val="Normal"/>
              <w:widowControl w:val="false"/>
              <w:spacing w:lineRule="auto" w:line="240" w:before="0" w:after="0"/>
              <w:rPr>
                <w:rFonts w:ascii="Arial" w:hAnsi="Arial" w:eastAsia="Times New Roman" w:cs="Arial"/>
                <w:sz w:val="18"/>
                <w:szCs w:val="18"/>
                <w:lang w:eastAsia="es-ES"/>
              </w:rPr>
            </w:pPr>
            <w:r>
              <w:rPr/>
            </w:r>
          </w:p>
        </w:tc>
        <w:tc>
          <w:tcPr>
            <w:tcW w:w="303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Le Nouvel Hotel</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r>
        <w:trPr>
          <w:trHeight w:val="340" w:hRule="atLeast"/>
        </w:trPr>
        <w:tc>
          <w:tcPr>
            <w:tcW w:w="1563" w:type="dxa"/>
            <w:tcBorders>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Saint-Hippolyte</w:t>
            </w:r>
          </w:p>
        </w:tc>
        <w:tc>
          <w:tcPr>
            <w:tcW w:w="3034" w:type="dxa"/>
            <w:tcBorders>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Auberge du Lac Morency</w:t>
            </w:r>
          </w:p>
        </w:tc>
        <w:tc>
          <w:tcPr>
            <w:tcW w:w="1340" w:type="dxa"/>
            <w:tcBorders>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bl>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t>PRECIOS POR</w:t>
      </w:r>
      <w:r>
        <w:rPr>
          <w:rFonts w:eastAsia="Times New Roman" w:cs="Arial" w:ascii="Proxima Nova Alt Lt" w:hAnsi="Proxima Nova Alt Lt"/>
          <w:b/>
          <w:color w:val="E36C0A" w:themeColor="accent6" w:themeShade="bf"/>
          <w:sz w:val="18"/>
          <w:szCs w:val="18"/>
          <w:u w:val="single"/>
          <w:lang w:val="es-MX" w:eastAsia="es-ES"/>
        </w:rPr>
        <w:t xml:space="preserve"> </w:t>
      </w:r>
      <w:r>
        <w:rPr>
          <w:rFonts w:eastAsia="Times New Roman" w:cs="Arial" w:ascii="Arial" w:hAnsi="Arial"/>
          <w:b/>
          <w:color w:val="E36C0A" w:themeColor="accent6" w:themeShade="bf"/>
          <w:sz w:val="18"/>
          <w:szCs w:val="18"/>
          <w:u w:val="single"/>
          <w:lang w:val="es-MX" w:eastAsia="es-ES"/>
        </w:rPr>
        <w:t>PERSONA EN USD:</w:t>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r>
    </w:p>
    <w:tbl>
      <w:tblPr>
        <w:tblW w:w="946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364"/>
        <w:gridCol w:w="2040"/>
        <w:gridCol w:w="1306"/>
        <w:gridCol w:w="1185"/>
        <w:gridCol w:w="1046"/>
        <w:gridCol w:w="1270"/>
        <w:gridCol w:w="1254"/>
      </w:tblGrid>
      <w:tr>
        <w:trPr>
          <w:trHeight w:val="340" w:hRule="atLeast"/>
        </w:trPr>
        <w:tc>
          <w:tcPr>
            <w:tcW w:w="1364"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2040"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ESPECÍFICAS</w:t>
            </w:r>
          </w:p>
        </w:tc>
        <w:tc>
          <w:tcPr>
            <w:tcW w:w="1306"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185"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046"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0"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25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w:t>
            </w:r>
          </w:p>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0 – 11 AÑOS</w:t>
            </w:r>
          </w:p>
        </w:tc>
      </w:tr>
      <w:tr>
        <w:trPr>
          <w:trHeight w:val="340" w:hRule="atLeast"/>
        </w:trPr>
        <w:tc>
          <w:tcPr>
            <w:tcW w:w="1364" w:type="dxa"/>
            <w:vMerge w:val="restart"/>
            <w:tcBorders>
              <w:top w:val="single" w:sz="4" w:space="0" w:color="E26B0A"/>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Turista Superior</w:t>
            </w:r>
          </w:p>
        </w:tc>
        <w:tc>
          <w:tcPr>
            <w:tcW w:w="2040"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pPr>
            <w:r>
              <w:rPr>
                <w:rFonts w:eastAsia="Times New Roman" w:cs="Arial" w:ascii="Arial" w:hAnsi="Arial"/>
                <w:b/>
                <w:bCs/>
                <w:sz w:val="18"/>
                <w:szCs w:val="18"/>
                <w:lang w:eastAsia="es-ES"/>
              </w:rPr>
              <w:t>2024</w:t>
              <w:br/>
            </w:r>
            <w:r>
              <w:rPr>
                <w:rFonts w:eastAsia="Times New Roman" w:cs="Arial" w:ascii="Arial" w:hAnsi="Arial"/>
                <w:sz w:val="18"/>
                <w:szCs w:val="18"/>
                <w:lang w:eastAsia="es-ES"/>
              </w:rPr>
              <w:t>Diciembre 08</w:t>
            </w:r>
            <w:r>
              <w:rPr>
                <w:rFonts w:eastAsia="Times New Roman" w:cs="Arial" w:ascii="Arial" w:hAnsi="Arial"/>
                <w:b/>
                <w:bCs/>
                <w:sz w:val="18"/>
                <w:szCs w:val="18"/>
                <w:lang w:eastAsia="es-ES"/>
              </w:rPr>
              <w:br/>
              <w:t>2025</w:t>
              <w:br/>
            </w:r>
            <w:r>
              <w:rPr>
                <w:rFonts w:eastAsia="Times New Roman" w:cs="Arial" w:ascii="Arial" w:hAnsi="Arial"/>
                <w:sz w:val="18"/>
                <w:szCs w:val="18"/>
                <w:lang w:eastAsia="es-ES"/>
              </w:rPr>
              <w:t>Enero 05, 12, 26</w:t>
              <w:br/>
              <w:t>Febrero 02, 09, 16, 23</w:t>
              <w:br/>
              <w:t>Marzo 02,09,16, 23, 30</w:t>
              <w:br/>
              <w:t>Abril 06, 13</w:t>
            </w:r>
          </w:p>
        </w:tc>
        <w:tc>
          <w:tcPr>
            <w:tcW w:w="130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3,343</w:t>
            </w:r>
          </w:p>
        </w:tc>
        <w:tc>
          <w:tcPr>
            <w:tcW w:w="1185"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2,524</w:t>
            </w:r>
          </w:p>
        </w:tc>
        <w:tc>
          <w:tcPr>
            <w:tcW w:w="104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2,298</w:t>
            </w:r>
          </w:p>
        </w:tc>
        <w:tc>
          <w:tcPr>
            <w:tcW w:w="1270"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2,189</w:t>
            </w:r>
          </w:p>
        </w:tc>
        <w:tc>
          <w:tcPr>
            <w:tcW w:w="125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1,455</w:t>
            </w:r>
          </w:p>
        </w:tc>
      </w:tr>
      <w:tr>
        <w:trPr>
          <w:trHeight w:val="502" w:hRule="atLeast"/>
        </w:trPr>
        <w:tc>
          <w:tcPr>
            <w:tcW w:w="1364" w:type="dxa"/>
            <w:vMerge w:val="continue"/>
            <w:tcBorders>
              <w:top w:val="single" w:sz="4" w:space="0" w:color="E26B0A"/>
              <w:left w:val="single" w:sz="4" w:space="0" w:color="E26B0A"/>
              <w:bottom w:val="single" w:sz="4" w:space="0" w:color="E26B0A"/>
              <w:right w:val="single" w:sz="4" w:space="0" w:color="E26B0A"/>
            </w:tcBorders>
            <w:vAlign w:val="center"/>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040"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pPr>
            <w:r>
              <w:rPr>
                <w:rFonts w:eastAsia="Times New Roman" w:cs="Arial" w:ascii="Arial" w:hAnsi="Arial"/>
                <w:b/>
                <w:bCs/>
                <w:sz w:val="18"/>
                <w:szCs w:val="18"/>
                <w:lang w:eastAsia="es-ES"/>
              </w:rPr>
              <w:t>2024</w:t>
              <w:br/>
            </w:r>
            <w:r>
              <w:rPr>
                <w:rFonts w:eastAsia="Times New Roman" w:cs="Arial" w:ascii="Arial" w:hAnsi="Arial"/>
                <w:sz w:val="18"/>
                <w:szCs w:val="18"/>
                <w:lang w:eastAsia="es-ES"/>
              </w:rPr>
              <w:t>Diciembre 22, 29</w:t>
            </w:r>
          </w:p>
        </w:tc>
        <w:tc>
          <w:tcPr>
            <w:tcW w:w="130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3,858</w:t>
            </w:r>
          </w:p>
        </w:tc>
        <w:tc>
          <w:tcPr>
            <w:tcW w:w="118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3,039</w:t>
            </w:r>
          </w:p>
        </w:tc>
        <w:tc>
          <w:tcPr>
            <w:tcW w:w="104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2,812</w:t>
            </w:r>
          </w:p>
        </w:tc>
        <w:tc>
          <w:tcPr>
            <w:tcW w:w="1270"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2,703</w:t>
            </w:r>
          </w:p>
        </w:tc>
        <w:tc>
          <w:tcPr>
            <w:tcW w:w="125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1,970</w:t>
            </w:r>
          </w:p>
        </w:tc>
      </w:tr>
    </w:tbl>
    <w:p>
      <w:pPr>
        <w:pStyle w:val="Normal"/>
        <w:spacing w:lineRule="auto" w:line="240" w:before="0" w:after="0"/>
        <w:jc w:val="both"/>
        <w:rPr>
          <w:rStyle w:val="Eop"/>
          <w:rFonts w:ascii="Arial" w:hAnsi="Arial" w:eastAsia="Times New Roman" w:cs="Arial"/>
          <w:b/>
          <w:b/>
          <w:i/>
          <w:i/>
          <w:iCs/>
          <w:color w:val="000000" w:themeColor="text1"/>
          <w:sz w:val="18"/>
          <w:szCs w:val="18"/>
          <w:lang w:eastAsia="es-ES"/>
        </w:rPr>
      </w:pPr>
      <w:r>
        <w:rPr>
          <w:rFonts w:eastAsia="Times New Roman" w:cs="Arial" w:ascii="Arial" w:hAnsi="Arial"/>
          <w:b/>
          <w:i/>
          <w:iCs/>
          <w:color w:val="000000" w:themeColor="text1"/>
          <w:sz w:val="18"/>
          <w:szCs w:val="18"/>
          <w:lang w:eastAsia="es-ES"/>
        </w:rPr>
      </w:r>
    </w:p>
    <w:p>
      <w:pPr>
        <w:pStyle w:val="Normal"/>
        <w:spacing w:lineRule="auto" w:line="240" w:before="0" w:after="0"/>
        <w:jc w:val="both"/>
        <w:rPr>
          <w:rStyle w:val="Eop"/>
          <w:rFonts w:ascii="Arial" w:hAnsi="Arial" w:eastAsia="Times New Roman" w:cs="Arial"/>
          <w:b/>
          <w:b/>
          <w:i/>
          <w:i/>
          <w:iCs/>
          <w:color w:val="000000" w:themeColor="text1"/>
          <w:sz w:val="18"/>
          <w:szCs w:val="18"/>
          <w:lang w:eastAsia="es-ES"/>
        </w:rPr>
      </w:pPr>
      <w:r>
        <w:rPr>
          <w:rFonts w:eastAsia="Times New Roman" w:cs="Arial" w:ascii="Arial" w:hAnsi="Arial"/>
          <w:b/>
          <w:i/>
          <w:iCs/>
          <w:color w:val="000000" w:themeColor="text1"/>
          <w:sz w:val="18"/>
          <w:szCs w:val="18"/>
          <w:lang w:eastAsia="es-ES"/>
        </w:rPr>
        <w:t xml:space="preserve">Nota: Se permite hasta 2 menores compartiendo habitación con 2 adultos, los menores compartiendo no incluyen desayuno. </w:t>
      </w:r>
      <w:r>
        <w:rPr>
          <w:rStyle w:val="Normaltextrun"/>
          <w:rFonts w:cs="Arial" w:ascii="Arial" w:hAnsi="Arial"/>
          <w:b/>
          <w:i/>
          <w:iCs/>
          <w:color w:val="000000" w:themeColor="text1"/>
          <w:sz w:val="18"/>
          <w:szCs w:val="18"/>
          <w:shd w:fill="FFFFFF" w:val="clear"/>
        </w:rPr>
        <w:t xml:space="preserve">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 </w:t>
      </w:r>
      <w:r>
        <w:rPr>
          <w:rStyle w:val="Normaltextrun"/>
          <w:rFonts w:cs="Arial" w:ascii="Arial" w:hAnsi="Arial"/>
          <w:b/>
          <w:i/>
          <w:iCs/>
          <w:color w:val="000000" w:themeColor="text1"/>
          <w:sz w:val="18"/>
          <w:szCs w:val="18"/>
          <w:u w:val="single"/>
          <w:shd w:fill="FFFFFF" w:val="clear"/>
        </w:rPr>
        <w:t>Se cobrará un suplemento de $33 USD</w:t>
      </w:r>
      <w:r>
        <w:rPr>
          <w:rStyle w:val="Normaltextrun"/>
          <w:rFonts w:cs="Arial" w:ascii="Arial" w:hAnsi="Arial"/>
          <w:b/>
          <w:i/>
          <w:iCs/>
          <w:color w:val="000000" w:themeColor="text1"/>
          <w:sz w:val="18"/>
          <w:szCs w:val="18"/>
          <w:shd w:fill="FFFFFF" w:val="clear"/>
        </w:rPr>
        <w:t xml:space="preserve">. </w:t>
      </w:r>
    </w:p>
    <w:p>
      <w:pPr>
        <w:pStyle w:val="Normal"/>
        <w:spacing w:lineRule="auto" w:line="240" w:before="0" w:after="0"/>
        <w:rPr>
          <w:rFonts w:ascii="Arial" w:hAnsi="Arial" w:eastAsia="Times New Roman" w:cs="Arial"/>
          <w:b/>
          <w:b/>
          <w:color w:val="E36C0A" w:themeColor="accent6" w:themeShade="bf"/>
          <w:sz w:val="12"/>
          <w:szCs w:val="12"/>
          <w:u w:val="single"/>
          <w:lang w:val="es-MX" w:eastAsia="es-ES"/>
        </w:rPr>
      </w:pPr>
      <w:r>
        <w:rPr>
          <w:rFonts w:eastAsia="Times New Roman" w:cs="Arial" w:ascii="Arial" w:hAnsi="Arial"/>
          <w:b/>
          <w:color w:val="E36C0A" w:themeColor="accent6" w:themeShade="bf"/>
          <w:sz w:val="12"/>
          <w:szCs w:val="12"/>
          <w:u w:val="single"/>
          <w:lang w:val="es-MX"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lang w:val="es-ES" w:eastAsia="es-ES"/>
        </w:rPr>
        <w:t xml:space="preserve">Traslados aeropuerto - hotel - aeropuerto en servicio compartido en </w:t>
      </w:r>
      <w:r>
        <w:rPr>
          <w:rFonts w:cs="Arial" w:ascii="Arial" w:hAnsi="Arial"/>
          <w:b/>
          <w:bCs/>
          <w:i/>
          <w:iCs/>
          <w:color w:val="0D0D0D" w:themeColor="text1" w:themeTint="f2"/>
          <w:sz w:val="18"/>
          <w:szCs w:val="18"/>
          <w:lang w:val="es-ES" w:eastAsia="es-ES"/>
        </w:rPr>
        <w:t>horario diurno</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rPr>
        <w:t>01 noche de alojamiento en Toronto</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rPr>
        <w:t>01 noche de alojamiento en Niagara</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rPr>
        <w:t>01 noche de alojamiento en Ottawa</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rPr>
        <w:t xml:space="preserve">02 noches de alojamiento en Quebec </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rPr>
        <w:t>02 noches de alojamiento en Montreal</w:t>
      </w:r>
    </w:p>
    <w:p>
      <w:pPr>
        <w:pStyle w:val="NoSpacing"/>
        <w:widowControl w:val="false"/>
        <w:numPr>
          <w:ilvl w:val="0"/>
          <w:numId w:val="5"/>
        </w:numPr>
        <w:jc w:val="both"/>
        <w:textAlignment w:val="baseline"/>
        <w:rPr>
          <w:b w:val="false"/>
          <w:b w:val="false"/>
          <w:bCs w:val="false"/>
          <w:i w:val="false"/>
          <w:i w:val="false"/>
          <w:iCs w:val="false"/>
        </w:rPr>
      </w:pPr>
      <w:r>
        <w:rPr>
          <w:rFonts w:cs="Arial" w:ascii="Arial" w:hAnsi="Arial"/>
          <w:b w:val="false"/>
          <w:bCs w:val="false"/>
          <w:i w:val="false"/>
          <w:iCs w:val="false"/>
          <w:color w:val="0D0D0D" w:themeColor="text1" w:themeTint="f2"/>
          <w:sz w:val="18"/>
          <w:szCs w:val="18"/>
          <w:lang w:val="es-ES" w:eastAsia="es-ES"/>
        </w:rPr>
        <w:t>02 noche de alojamiento en Saint-Hippolyte</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09 desayunos entre continentales y americanos</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eastAsia="es-ES"/>
        </w:rPr>
        <w:t>Guía acompañante de habla hispana durante todo el recorrido. Los días 8, 9 y 10, sin asistencia de un guía en el resort.</w:t>
      </w:r>
    </w:p>
    <w:p>
      <w:pPr>
        <w:pStyle w:val="ListParagraph"/>
        <w:numPr>
          <w:ilvl w:val="0"/>
          <w:numId w:val="5"/>
        </w:numPr>
        <w:spacing w:lineRule="auto" w:line="240" w:before="0" w:after="0"/>
        <w:contextualSpacing/>
        <w:jc w:val="both"/>
        <w:textAlignment w:val="baseline"/>
        <w:rPr>
          <w:rFonts w:ascii="Arial" w:hAnsi="Arial" w:eastAsia="Times New Roman" w:cs="Arial"/>
          <w:color w:val="0D0D0D" w:themeColor="text1" w:themeTint="f2"/>
          <w:sz w:val="18"/>
          <w:szCs w:val="18"/>
          <w:lang w:eastAsia="es-ES"/>
        </w:rPr>
      </w:pPr>
      <w:r>
        <w:rPr>
          <w:rFonts w:eastAsia="Times New Roman" w:cs="Arial" w:ascii="Arial" w:hAnsi="Arial"/>
          <w:color w:val="0D0D0D" w:themeColor="text1" w:themeTint="f2"/>
          <w:sz w:val="18"/>
          <w:szCs w:val="18"/>
          <w:lang w:eastAsia="es-ES"/>
        </w:rPr>
        <w:t xml:space="preserve">Visitas a Toronto, Niágara, Ottawa, Quebec y Montreal </w:t>
      </w:r>
    </w:p>
    <w:p>
      <w:pPr>
        <w:pStyle w:val="ListParagraph"/>
        <w:numPr>
          <w:ilvl w:val="0"/>
          <w:numId w:val="5"/>
        </w:numPr>
        <w:spacing w:lineRule="auto" w:line="240" w:before="0" w:after="0"/>
        <w:contextualSpacing/>
        <w:jc w:val="both"/>
        <w:textAlignment w:val="baseline"/>
        <w:rPr>
          <w:rFonts w:ascii="Arial" w:hAnsi="Arial" w:eastAsia="Times New Roman" w:cs="Arial"/>
          <w:color w:val="0D0D0D" w:themeColor="text1" w:themeTint="f2"/>
          <w:sz w:val="18"/>
          <w:szCs w:val="18"/>
          <w:lang w:eastAsia="es-ES"/>
        </w:rPr>
      </w:pPr>
      <w:r>
        <w:rPr>
          <w:rFonts w:eastAsia="Times New Roman" w:cs="Arial" w:ascii="Arial" w:hAnsi="Arial"/>
          <w:color w:val="0D0D0D" w:themeColor="text1" w:themeTint="f2"/>
          <w:sz w:val="18"/>
          <w:szCs w:val="18"/>
          <w:lang w:eastAsia="es-ES"/>
        </w:rPr>
        <w:t>Todas las visitas mencionadas en el itinerario salvo cuando se indica que son visitas opcionales</w:t>
      </w:r>
    </w:p>
    <w:p>
      <w:pPr>
        <w:pStyle w:val="NoSpacing"/>
        <w:widowControl w:val="false"/>
        <w:numPr>
          <w:ilvl w:val="0"/>
          <w:numId w:val="5"/>
        </w:numPr>
        <w:jc w:val="both"/>
        <w:textAlignment w:val="baseline"/>
        <w:rPr>
          <w:rFonts w:ascii="Arial" w:hAnsi="Arial" w:cs="Arial"/>
          <w:b/>
          <w:b/>
          <w:bCs/>
          <w:i/>
          <w:i/>
          <w:iCs/>
          <w:color w:val="0D0D0D" w:themeColor="text1" w:themeTint="f2"/>
          <w:sz w:val="18"/>
          <w:szCs w:val="18"/>
          <w:lang w:val="es-ES" w:eastAsia="es-ES"/>
        </w:rPr>
      </w:pPr>
      <w:r>
        <w:rPr>
          <w:rFonts w:cs="Arial" w:ascii="Arial" w:hAnsi="Arial"/>
          <w:b/>
          <w:bCs/>
          <w:i/>
          <w:iCs/>
          <w:color w:val="0D0D0D" w:themeColor="text1" w:themeTint="f2"/>
          <w:sz w:val="18"/>
          <w:szCs w:val="18"/>
          <w:lang w:val="es-ES" w:eastAsia="es-ES"/>
        </w:rPr>
        <w:t>Seguro de viajero con cobertura COVID</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Toronto / Montreal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Manejo de equipaje extra</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Visa/eTA para Canadá</w:t>
      </w:r>
    </w:p>
    <w:p>
      <w:pPr>
        <w:pStyle w:val="NoSpacing"/>
        <w:widowControl w:val="false"/>
        <w:numPr>
          <w:ilvl w:val="0"/>
          <w:numId w:val="3"/>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Spacing"/>
        <w:widowControl w:val="false"/>
        <w:ind w:left="720" w:hanging="0"/>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1"/>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cs="Arial" w:ascii="Arial" w:hAnsi="Arial"/>
          <w:color w:val="000000" w:themeColor="text1"/>
          <w:sz w:val="18"/>
          <w:szCs w:val="18"/>
        </w:rPr>
        <w:t>Si su avión regresa por la tarde, el hotel podrá mantener sus pertenencias.</w:t>
      </w:r>
    </w:p>
    <w:p>
      <w:pPr>
        <w:pStyle w:val="ListParagraph"/>
        <w:widowControl w:val="false"/>
        <w:numPr>
          <w:ilvl w:val="0"/>
          <w:numId w:val="1"/>
        </w:numPr>
        <w:spacing w:lineRule="auto" w:line="240" w:before="0" w:after="0"/>
        <w:contextualSpacing/>
        <w:jc w:val="both"/>
        <w:textAlignment w:val="baseline"/>
        <w:rPr>
          <w:rFonts w:ascii="Arial" w:hAnsi="Arial" w:cs="Arial"/>
          <w:color w:val="0D0D0D" w:themeColor="text1" w:themeTint="f2"/>
          <w:sz w:val="18"/>
          <w:szCs w:val="18"/>
          <w:lang w:val="es-ES_tradnl" w:eastAsia="es-ES"/>
        </w:rPr>
      </w:pPr>
      <w:r>
        <w:rPr>
          <w:rFonts w:cs="Arial" w:ascii="Arial" w:hAnsi="Arial"/>
          <w:color w:val="0D0D0D" w:themeColor="text1" w:themeTint="f2"/>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widowControl w:val="false"/>
        <w:numPr>
          <w:ilvl w:val="0"/>
          <w:numId w:val="1"/>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1"/>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pStyle w:val="ListParagraph"/>
        <w:widowControl w:val="false"/>
        <w:numPr>
          <w:ilvl w:val="0"/>
          <w:numId w:val="1"/>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 xml:space="preserve"> </w:t>
      </w:r>
      <w:r>
        <w:rPr>
          <w:rFonts w:cs="Arial" w:ascii="Arial" w:hAnsi="Arial"/>
          <w:color w:val="0D0D0D" w:themeColor="text1" w:themeTint="f2"/>
          <w:sz w:val="18"/>
          <w:szCs w:val="18"/>
          <w:lang w:eastAsia="es-ES"/>
        </w:rPr>
        <w:t xml:space="preserve">Máximo de 1 maleta por persona. En caso de equipaje adicional costos extras pueden ser cobrados en destino.  </w:t>
      </w:r>
    </w:p>
    <w:p>
      <w:pPr>
        <w:pStyle w:val="ListParagraph"/>
        <w:numPr>
          <w:ilvl w:val="0"/>
          <w:numId w:val="1"/>
        </w:numPr>
        <w:spacing w:lineRule="auto" w:line="240" w:before="0" w:after="0"/>
        <w:contextualSpacing/>
        <w:jc w:val="both"/>
        <w:rPr>
          <w:rFonts w:ascii="Arial" w:hAnsi="Arial" w:eastAsia="Times New Roman" w:cs="Arial"/>
          <w:color w:val="0D0D0D" w:themeColor="text1" w:themeTint="f2"/>
          <w:sz w:val="18"/>
          <w:szCs w:val="18"/>
          <w:u w:val="single"/>
          <w:lang w:val="es-MX" w:eastAsia="es-ES"/>
        </w:rPr>
      </w:pPr>
      <w:r>
        <w:rPr>
          <w:rFonts w:eastAsia="Times New Roman" w:cs="Arial" w:ascii="Arial" w:hAnsi="Arial"/>
          <w:color w:val="0D0D0D" w:themeColor="text1" w:themeTint="f2"/>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numPr>
          <w:ilvl w:val="0"/>
          <w:numId w:val="4"/>
        </w:numPr>
        <w:spacing w:lineRule="auto" w:line="240" w:before="0" w:after="0"/>
        <w:contextualSpacing/>
        <w:jc w:val="both"/>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Se proporcionará un número de urgencias del proveedor de servicio, el cual se puede marcar sin moneda desde un teléfono público. Si marcan desde un celular, no nos hacemos responsables de los cargos.</w:t>
      </w:r>
    </w:p>
    <w:p>
      <w:pPr>
        <w:pStyle w:val="ListParagraph"/>
        <w:numPr>
          <w:ilvl w:val="0"/>
          <w:numId w:val="4"/>
        </w:numPr>
        <w:spacing w:lineRule="auto" w:line="240" w:before="0" w:after="0"/>
        <w:contextualSpacing/>
        <w:jc w:val="both"/>
        <w:rPr>
          <w:rFonts w:ascii="Arial" w:hAnsi="Arial" w:cs="Arial"/>
          <w:color w:val="0D0D0D" w:themeColor="text1" w:themeTint="f2"/>
          <w:sz w:val="18"/>
          <w:szCs w:val="18"/>
          <w:lang w:eastAsia="es-ES"/>
        </w:rPr>
      </w:pPr>
      <w:r>
        <w:rPr>
          <w:rStyle w:val="Strong"/>
          <w:rFonts w:cs="Arial" w:ascii="Arial" w:hAnsi="Arial"/>
          <w:b w:val="false"/>
          <w:bCs w:val="false"/>
          <w:color w:val="0D0D0D" w:themeColor="text1" w:themeTint="f2"/>
          <w:sz w:val="18"/>
          <w:szCs w:val="18"/>
        </w:rPr>
        <w:t xml:space="preserve">Para poder confirmar los traslados debemos recibir la información completa 10 días hábiles antes de la salida. Si no recibimos la información dentro de este esquema, </w:t>
      </w:r>
      <w:r>
        <w:rPr>
          <w:rFonts w:cs="Arial" w:ascii="Arial" w:hAnsi="Arial"/>
          <w:color w:val="0D0D0D" w:themeColor="text1" w:themeTint="f2"/>
          <w:sz w:val="18"/>
          <w:szCs w:val="18"/>
        </w:rPr>
        <w:t>no se podrá proporcionar los servicios de traslados de entrada y/o salida, y no serán reembolsables.</w:t>
      </w:r>
    </w:p>
    <w:p>
      <w:pPr>
        <w:pStyle w:val="ListParagraph"/>
        <w:numPr>
          <w:ilvl w:val="0"/>
          <w:numId w:val="4"/>
        </w:numPr>
        <w:spacing w:lineRule="auto" w:line="240" w:before="0" w:after="0"/>
        <w:contextualSpacing/>
        <w:jc w:val="both"/>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En caso de que el vuelo llegue adelantado o atrasado se hará lo posible por dar el traslado con la mayor celeridad posible. El pasajero debe llamar a nuestro número de urgencias en caso no encontrar a nuestro personal esperando, caso contrario no tendrán derecho a reembolso. . 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pPr>
        <w:pStyle w:val="NoSpacing"/>
        <w:widowControl w:val="false"/>
        <w:numPr>
          <w:ilvl w:val="0"/>
          <w:numId w:val="4"/>
        </w:numPr>
        <w:jc w:val="both"/>
        <w:textAlignment w:val="baseline"/>
        <w:rPr>
          <w:rFonts w:ascii="Arial" w:hAnsi="Arial" w:cs="Arial"/>
          <w:color w:val="0D0D0D" w:themeColor="text1" w:themeTint="f2"/>
          <w:sz w:val="18"/>
          <w:szCs w:val="18"/>
          <w:lang w:val="es-ES_tradnl" w:eastAsia="es-ES"/>
        </w:rPr>
      </w:pPr>
      <w:r>
        <w:rPr>
          <w:rFonts w:cs="Arial" w:ascii="Arial" w:hAnsi="Arial"/>
          <w:color w:val="0D0D0D" w:themeColor="text1" w:themeTint="f2"/>
          <w:sz w:val="18"/>
          <w:szCs w:val="18"/>
        </w:rPr>
        <w:t>En caso de que el cliente desista de realizar alguno de los servicios solicitados o contratados, no tendrá derecho a la devolución de las cantidades que hubiera abonado.</w:t>
      </w:r>
    </w:p>
    <w:p>
      <w:pPr>
        <w:pStyle w:val="Normal"/>
        <w:spacing w:lineRule="auto" w:line="240" w:before="0" w:after="0"/>
        <w:rPr>
          <w:rFonts w:ascii="Arial" w:hAnsi="Arial" w:eastAsia="Times New Roman" w:cs="Arial"/>
          <w:color w:val="0D0D0D" w:themeColor="text1" w:themeTint="f2"/>
          <w:sz w:val="18"/>
          <w:szCs w:val="18"/>
          <w:u w:val="single"/>
          <w:lang w:eastAsia="es-ES"/>
        </w:rPr>
      </w:pPr>
      <w:r>
        <w:rPr>
          <w:rFonts w:eastAsia="Times New Roman" w:cs="Arial" w:ascii="Arial" w:hAnsi="Arial"/>
          <w:color w:val="0D0D0D" w:themeColor="text1" w:themeTint="f2"/>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5">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DEL 08 DE DICIEMBRE 2024 AL 13 DE ABRIL 2025</w:t>
      </w:r>
    </w:p>
    <w:p>
      <w:pPr>
        <w:pStyle w:val="NoSpacing"/>
        <w:widowControl w:val="false"/>
        <w:jc w:val="center"/>
        <w:textAlignment w:val="baseline"/>
        <w:rPr>
          <w:rFonts w:ascii="Arial" w:hAnsi="Arial" w:cs="Arial"/>
          <w:b/>
          <w:b/>
          <w:color w:val="FFFFFF" w:themeColor="background1"/>
          <w:sz w:val="22"/>
          <w:szCs w:val="18"/>
          <w:u w:val="single"/>
          <w:lang w:val="es-ES_tradnl" w:eastAsia="es-ES"/>
        </w:rPr>
      </w:pPr>
      <w:r>
        <w:rPr>
          <w:rFonts w:cs="Arial" w:ascii="Arial" w:hAnsi="Arial"/>
          <w:b/>
          <w:color w:val="FFFFFF" w:themeColor="background1"/>
          <w:sz w:val="22"/>
          <w:szCs w:val="18"/>
          <w:highlight w:val="blue"/>
          <w:u w:val="single"/>
          <w:lang w:val="es-ES_tradnl" w:eastAsia="es-ES"/>
        </w:rPr>
        <w:t>Se requiere de prepago</w:t>
      </w:r>
    </w:p>
    <w:tbl>
      <w:tblPr>
        <w:tblStyle w:val="Sombreadomedio1-nfasis6"/>
        <w:tblW w:w="863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637"/>
      </w:tblGrid>
      <w:tr>
        <w:trPr>
          <w:trHeight w:val="151" w:hRule="atLeast"/>
          <w:cnfStyle w:val="100000000000" w:firstRow="1" w:lastRow="0" w:firstColumn="0" w:lastColumn="0" w:oddVBand="0" w:evenVBand="0" w:oddHBand="0"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 Y/O CAMBIOS</w:t>
            </w:r>
          </w:p>
        </w:tc>
      </w:tr>
      <w:tr>
        <w:trPr>
          <w:trHeight w:val="46" w:hRule="atLeast"/>
          <w:cnfStyle w:val="000000100000" w:firstRow="0" w:lastRow="0" w:firstColumn="0" w:lastColumn="0" w:oddVBand="0" w:evenVBand="0" w:oddHBand="1"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6"/>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Antes de 48 días de la salida del pasajero: sin cargo.</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47 y 45 días antes de la fecha de salida del pasajero: 25% del total de la reservación por pasajero.</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44 y 30 días antes de la fecha de salida del pasajero: 50% del total de la reservación por pasajero.</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29 y 15 días antes de la fecha de salida del pasajero: 80% del total de la reservación</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14 días antes de la llegada: 100% del total de la reservación por pasajero.</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100% del total de la reservación por pasajero</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Consulte políticas sobre cambios.</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6"/>
      <w:footerReference w:type="default" r:id="rId7"/>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Proxima Nova Alt Lt">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5" wp14:anchorId="5AE26935">
              <wp:simplePos x="0" y="0"/>
              <wp:positionH relativeFrom="column">
                <wp:posOffset>-1257300</wp:posOffset>
              </wp:positionH>
              <wp:positionV relativeFrom="paragraph">
                <wp:posOffset>-612140</wp:posOffset>
              </wp:positionV>
              <wp:extent cx="8353425" cy="1047750"/>
              <wp:effectExtent l="13335" t="12700" r="12065" b="12700"/>
              <wp:wrapNone/>
              <wp:docPr id="4" name="3 Rectángulo"/>
              <a:graphic xmlns:a="http://schemas.openxmlformats.org/drawingml/2006/main">
                <a:graphicData uri="http://schemas.microsoft.com/office/word/2010/wordprocessingShape">
                  <wps:wsp>
                    <wps:cNvSpPr/>
                    <wps:spPr>
                      <a:xfrm>
                        <a:off x="0" y="0"/>
                        <a:ext cx="8353440" cy="1047600"/>
                      </a:xfrm>
                      <a:prstGeom prst="rect">
                        <a:avLst/>
                      </a:prstGeom>
                      <a:solidFill>
                        <a:schemeClr val="bg1">
                          <a:lumMod val="50000"/>
                          <a:alpha val="47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wp14:anchorId="5AE26935">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9">
          <wp:simplePos x="0" y="0"/>
          <wp:positionH relativeFrom="margin">
            <wp:align>left</wp:align>
          </wp:positionH>
          <wp:positionV relativeFrom="paragraph">
            <wp:posOffset>-220980</wp:posOffset>
          </wp:positionV>
          <wp:extent cx="1971675" cy="475615"/>
          <wp:effectExtent l="0" t="0" r="0" b="0"/>
          <wp:wrapSquare wrapText="bothSides"/>
          <wp:docPr id="5"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EnlacedeInternetvisitado">
    <w:name w:val="Enlace de Internet visitado"/>
    <w:basedOn w:val="DefaultParagraphFont"/>
    <w:uiPriority w:val="99"/>
    <w:semiHidden/>
    <w:unhideWhenUsed/>
    <w:rsid w:val="004a1183"/>
    <w:rPr>
      <w:color w:val="800080" w:themeColor="followedHyperlink"/>
      <w:u w:val="single"/>
    </w:rPr>
  </w:style>
  <w:style w:type="character" w:styleId="Textoindependiente2Car" w:customStyle="1">
    <w:name w:val="Texto independiente 2 Car"/>
    <w:basedOn w:val="DefaultParagraphFont"/>
    <w:link w:val="BodyText2"/>
    <w:uiPriority w:val="99"/>
    <w:qFormat/>
    <w:rsid w:val="009a40c4"/>
    <w:rPr>
      <w:rFonts w:ascii="Times New Roman" w:hAnsi="Times New Roman" w:eastAsia="SimSun" w:cs="Times New Roman"/>
      <w:sz w:val="20"/>
      <w:szCs w:val="20"/>
      <w:lang w:val="en-CA" w:eastAsia="en-CA"/>
    </w:rPr>
  </w:style>
  <w:style w:type="character" w:styleId="TextodegloboCar" w:customStyle="1">
    <w:name w:val="Texto de globo Car"/>
    <w:basedOn w:val="DefaultParagraphFont"/>
    <w:link w:val="BalloonText"/>
    <w:uiPriority w:val="99"/>
    <w:semiHidden/>
    <w:qFormat/>
    <w:rsid w:val="009c7f67"/>
    <w:rPr>
      <w:rFonts w:ascii="Tahoma" w:hAnsi="Tahoma" w:cs="Tahoma"/>
      <w:sz w:val="16"/>
      <w:szCs w:val="16"/>
      <w:lang w:val="es-ES"/>
    </w:rPr>
  </w:style>
  <w:style w:type="character" w:styleId="Normaltextrun" w:customStyle="1">
    <w:name w:val="normaltextrun"/>
    <w:basedOn w:val="DefaultParagraphFont"/>
    <w:qFormat/>
    <w:rsid w:val="00440262"/>
    <w:rPr/>
  </w:style>
  <w:style w:type="character" w:styleId="Tabchar" w:customStyle="1">
    <w:name w:val="tabchar"/>
    <w:basedOn w:val="DefaultParagraphFont"/>
    <w:qFormat/>
    <w:rsid w:val="00440262"/>
    <w:rPr/>
  </w:style>
  <w:style w:type="character" w:styleId="Eop" w:customStyle="1">
    <w:name w:val="eop"/>
    <w:basedOn w:val="DefaultParagraphFont"/>
    <w:qFormat/>
    <w:rsid w:val="00440262"/>
    <w:rPr/>
  </w:style>
  <w:style w:type="character" w:styleId="Strong">
    <w:name w:val="Strong"/>
    <w:basedOn w:val="DefaultParagraphFont"/>
    <w:uiPriority w:val="22"/>
    <w:qFormat/>
    <w:rsid w:val="00f57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99"/>
    <w:qFormat/>
    <w:rsid w:val="0046232d"/>
    <w:pPr>
      <w:spacing w:before="0" w:after="200"/>
      <w:ind w:left="720" w:hanging="0"/>
      <w:contextualSpacing/>
    </w:pPr>
    <w:rPr/>
  </w:style>
  <w:style w:type="paragraph" w:styleId="BodyText2">
    <w:name w:val="Body Text 2"/>
    <w:basedOn w:val="Normal"/>
    <w:link w:val="Textoindependiente2Car"/>
    <w:uiPriority w:val="99"/>
    <w:qFormat/>
    <w:rsid w:val="009a40c4"/>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uiPriority w:val="99"/>
    <w:semiHidden/>
    <w:unhideWhenUsed/>
    <w:qFormat/>
    <w:rsid w:val="009c7f67"/>
    <w:pPr>
      <w:spacing w:lineRule="auto" w:line="240" w:before="0" w:after="0"/>
    </w:pPr>
    <w:rPr>
      <w:rFonts w:ascii="Tahoma" w:hAnsi="Tahoma" w:cs="Tahoma"/>
      <w:sz w:val="16"/>
      <w:szCs w:val="16"/>
    </w:rPr>
  </w:style>
  <w:style w:type="paragraph" w:styleId="Paragraph" w:customStyle="1">
    <w:name w:val="paragraph"/>
    <w:basedOn w:val="Normal"/>
    <w:qFormat/>
    <w:rsid w:val="00440262"/>
    <w:pPr>
      <w:spacing w:lineRule="auto" w:line="240" w:beforeAutospacing="1" w:afterAutospacing="1"/>
    </w:pPr>
    <w:rPr>
      <w:rFonts w:ascii="Times New Roman" w:hAnsi="Times New Roman" w:eastAsia="Times New Roman" w:cs="Times New Roman"/>
      <w:sz w:val="24"/>
      <w:szCs w:val="24"/>
      <w:lang w:eastAsia="es-ES"/>
    </w:rPr>
  </w:style>
  <w:style w:type="paragraph" w:styleId="NormalWeb">
    <w:name w:val="Normal (Web)"/>
    <w:basedOn w:val="Normal"/>
    <w:uiPriority w:val="99"/>
    <w:unhideWhenUsed/>
    <w:qFormat/>
    <w:rsid w:val="00135e9d"/>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paragraph" w:styleId="Default">
    <w:name w:val="Default"/>
    <w:qFormat/>
    <w:pPr>
      <w:widowControl/>
      <w:suppressAutoHyphens w:val="true"/>
      <w:bidi w:val="0"/>
      <w:spacing w:lineRule="auto" w:line="276" w:before="0" w:after="200"/>
      <w:jc w:val="left"/>
    </w:pPr>
    <w:rPr>
      <w:rFonts w:ascii="Arial" w:hAnsi="Arial" w:eastAsia="Calibri" w:cs=""/>
      <w:color w:val="000000"/>
      <w:kern w:val="0"/>
      <w:sz w:val="24"/>
      <w:szCs w:val="22"/>
      <w:lang w:val="es-MX" w:eastAsia="en-US"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tourmundial.mx/"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numbering.xml.rels><?xml version="1.0" encoding="UTF-8"?>
<Relationships xmlns="http://schemas.openxmlformats.org/package/2006/relationships"><Relationship Id="rId1" Type="http://schemas.openxmlformats.org/officeDocument/2006/relationships/image" Target="media/image5.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8C4ADFEF-30A3-401E-90F0-3D9251C0B86A}"/>
</file>

<file path=customXml/itemProps3.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4.xml><?xml version="1.0" encoding="utf-8"?>
<ds:datastoreItem xmlns:ds="http://schemas.openxmlformats.org/officeDocument/2006/customXml" ds:itemID="{49322027-CF3B-4D0C-9467-EA6D6CA4E8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Application>LibreOffice/7.3.5.2$Windows_X86_64 LibreOffice_project/184fe81b8c8c30d8b5082578aee2fed2ea847c01</Application>
  <AppVersion>15.0000</AppVersion>
  <Pages>4</Pages>
  <Words>1956</Words>
  <Characters>10057</Characters>
  <CharactersWithSpaces>11893</CharactersWithSpaces>
  <Paragraphs>135</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2024-09-13T20:26:00Z</dcterms:created>
  <dc:creator>V2784160</dc:creator>
  <dc:description/>
  <dc:language>es-MX</dc:language>
  <cp:lastModifiedBy/>
  <cp:lastPrinted>2023-05-09T02:06:00Z</cp:lastPrinted>
  <dcterms:modified xsi:type="dcterms:W3CDTF">2024-12-16T12:42:40Z</dcterms:modified>
  <cp:revision>33</cp:revision>
  <dc:subject/>
  <dc:title>Exotico Invierno Con Resort Naturaleza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