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06" w:topFromText="0" w:vertAnchor="text"/>
        <w:tblW w:w="966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63"/>
      </w:tblGrid>
      <w:tr>
        <w:trPr>
          <w:trHeight w:val="290" w:hRule="atLeast"/>
          <w:cnfStyle w:val="100000000000" w:firstRow="1" w:lastRow="0" w:firstColumn="0" w:lastColumn="0" w:oddVBand="0" w:evenVBand="0" w:oddHBand="0" w:evenHBand="0" w:firstRowFirstColumn="0" w:firstRowLastColumn="0" w:lastRowFirstColumn="0" w:lastRowLastColumn="0"/>
        </w:trPr>
        <w:tc>
          <w:tcPr>
            <w:tcW w:w="9663"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24"/>
                <w:szCs w:val="24"/>
                <w:lang w:eastAsia="es-ES"/>
              </w:rPr>
            </w:pPr>
            <w:r>
              <w:rPr>
                <w:rFonts w:eastAsia="Times New Roman" w:cs="Arial" w:ascii="Arial" w:hAnsi="Arial"/>
                <w:b/>
                <w:bCs/>
                <w:color w:val="EF782D"/>
                <w:kern w:val="0"/>
                <w:sz w:val="40"/>
                <w:szCs w:val="24"/>
                <w:lang w:eastAsia="es-ES" w:bidi="ar-SA"/>
              </w:rPr>
              <w:t>GRAN TRIÁNGULO ARGENTINO</w:t>
            </w:r>
          </w:p>
        </w:tc>
      </w:tr>
    </w:tbl>
    <w:tbl>
      <w:tblPr>
        <w:tblpPr w:bottomFromText="0" w:horzAnchor="margin" w:leftFromText="141" w:rightFromText="141" w:tblpX="0" w:tblpY="678" w:topFromText="0" w:vertAnchor="text"/>
        <w:tblW w:w="9776" w:type="dxa"/>
        <w:jc w:val="left"/>
        <w:tblInd w:w="70" w:type="dxa"/>
        <w:tblLayout w:type="fixed"/>
        <w:tblCellMar>
          <w:top w:w="0" w:type="dxa"/>
          <w:left w:w="70" w:type="dxa"/>
          <w:bottom w:w="0" w:type="dxa"/>
          <w:right w:w="70" w:type="dxa"/>
        </w:tblCellMar>
        <w:tblLook w:firstRow="1" w:noVBand="1" w:lastRow="0" w:firstColumn="1" w:lastColumn="0" w:noHBand="0" w:val="04a0"/>
      </w:tblPr>
      <w:tblGrid>
        <w:gridCol w:w="1129"/>
        <w:gridCol w:w="8646"/>
      </w:tblGrid>
      <w:tr>
        <w:trPr>
          <w:trHeight w:val="132" w:hRule="atLeast"/>
        </w:trPr>
        <w:tc>
          <w:tcPr>
            <w:tcW w:w="1129" w:type="dxa"/>
            <w:tcBorders>
              <w:top w:val="single" w:sz="4" w:space="0" w:color="C65911"/>
              <w:left w:val="single" w:sz="4" w:space="0" w:color="C65911"/>
            </w:tcBorders>
            <w:shd w:color="000000" w:fill="FBE0CD"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646" w:type="dxa"/>
            <w:tcBorders>
              <w:top w:val="single" w:sz="4" w:space="0" w:color="C65911"/>
              <w:right w:val="single" w:sz="4" w:space="0" w:color="C65911"/>
            </w:tcBorders>
            <w:shd w:color="000000" w:fill="FBE0CD" w:val="clea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Buenos Aires – Iguazú (lado argentino &amp; lado brasileño) – Bariloche – Buenos Aires</w:t>
            </w:r>
          </w:p>
        </w:tc>
      </w:tr>
      <w:tr>
        <w:trPr>
          <w:trHeight w:val="171" w:hRule="atLeast"/>
        </w:trPr>
        <w:tc>
          <w:tcPr>
            <w:tcW w:w="1129" w:type="dxa"/>
            <w:tcBorders>
              <w:left w:val="single" w:sz="4" w:space="0" w:color="C65911"/>
            </w:tcBorders>
            <w:shd w:color="000000" w:fill="FBE0CD"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646" w:type="dxa"/>
            <w:tcBorders>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sz w:val="18"/>
                <w:szCs w:val="18"/>
              </w:rPr>
              <w:t>Diarias del 01 de octubre 2024 al 10 de diciembre 2025</w:t>
            </w:r>
          </w:p>
          <w:p>
            <w:pPr>
              <w:pStyle w:val="Normal"/>
              <w:widowControl w:val="false"/>
              <w:spacing w:lineRule="auto" w:line="240" w:before="0" w:after="0"/>
              <w:rPr>
                <w:rFonts w:ascii="Arial" w:hAnsi="Arial" w:cs="Arial"/>
                <w:b/>
                <w:b/>
                <w:bCs/>
                <w:color w:val="FF0000"/>
                <w:sz w:val="18"/>
                <w:szCs w:val="18"/>
              </w:rPr>
            </w:pPr>
            <w:r>
              <w:rPr>
                <w:rFonts w:cs="Arial" w:ascii="Arial" w:hAnsi="Arial"/>
                <w:b/>
                <w:bCs/>
                <w:color w:val="FF0000"/>
                <w:sz w:val="18"/>
                <w:szCs w:val="18"/>
              </w:rPr>
              <w:t>**Opera mínimo con 2 personas viajando juntas.</w:t>
            </w:r>
          </w:p>
          <w:p>
            <w:pPr>
              <w:pStyle w:val="Normal"/>
              <w:widowControl w:val="false"/>
              <w:spacing w:lineRule="auto" w:line="240" w:before="0" w:after="0"/>
              <w:rPr>
                <w:rFonts w:ascii="Arial" w:hAnsi="Arial" w:eastAsia="Times New Roman" w:cs="Arial"/>
                <w:b/>
                <w:b/>
                <w:bCs/>
                <w:color w:val="FF0000"/>
                <w:sz w:val="18"/>
                <w:szCs w:val="18"/>
                <w:lang w:val="es-MX" w:eastAsia="es-MX"/>
              </w:rPr>
            </w:pPr>
            <w:r>
              <w:rPr>
                <w:rFonts w:cs="Arial" w:ascii="Arial" w:hAnsi="Arial"/>
                <w:b/>
                <w:bCs/>
                <w:color w:val="FF0000"/>
                <w:sz w:val="18"/>
                <w:szCs w:val="18"/>
              </w:rPr>
              <w:t>*PVS: Tarifa para Pasajero Viajando Solo, consultar suplementos.</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r>
          </w:p>
        </w:tc>
      </w:tr>
      <w:tr>
        <w:trPr>
          <w:trHeight w:val="171" w:hRule="atLeast"/>
        </w:trPr>
        <w:tc>
          <w:tcPr>
            <w:tcW w:w="1129" w:type="dxa"/>
            <w:tcBorders>
              <w:lef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646" w:type="dxa"/>
            <w:tcBorders>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10 días / 09 noches</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r>
          </w:p>
        </w:tc>
      </w:tr>
      <w:tr>
        <w:trPr>
          <w:trHeight w:val="171" w:hRule="atLeast"/>
        </w:trPr>
        <w:tc>
          <w:tcPr>
            <w:tcW w:w="1129" w:type="dxa"/>
            <w:tcBorders>
              <w:left w:val="single" w:sz="4" w:space="0" w:color="C65911"/>
              <w:bottom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646" w:type="dxa"/>
            <w:tcBorders>
              <w:bottom w:val="single" w:sz="4" w:space="0" w:color="C65911"/>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09 desayunos</w:t>
            </w:r>
          </w:p>
        </w:tc>
      </w:tr>
    </w:tbl>
    <w:p>
      <w:pPr>
        <w:pStyle w:val="Normal"/>
        <w:jc w:val="center"/>
        <w:rPr>
          <w:rFonts w:ascii="Proxima Nova Alt Lt" w:hAnsi="Proxima Nova Alt Lt"/>
          <w:sz w:val="10"/>
          <w:szCs w:val="10"/>
          <w:u w:val="single"/>
        </w:rPr>
      </w:pPr>
      <w:r>
        <w:drawing>
          <wp:anchor behindDoc="0" distT="0" distB="0" distL="114300" distR="0" simplePos="0" locked="0" layoutInCell="0" allowOverlap="1" relativeHeight="11">
            <wp:simplePos x="0" y="0"/>
            <wp:positionH relativeFrom="column">
              <wp:posOffset>33020</wp:posOffset>
            </wp:positionH>
            <wp:positionV relativeFrom="paragraph">
              <wp:posOffset>18415</wp:posOffset>
            </wp:positionV>
            <wp:extent cx="6187440" cy="1682750"/>
            <wp:effectExtent l="0" t="0" r="0" b="0"/>
            <wp:wrapSquare wrapText="bothSides"/>
            <wp:docPr id="1" name="Imagen 1" descr="Un dibujo de un barco en el agu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barco en el agua&#10;&#10;Descripción generada automáticamente con confianza baja"/>
                    <pic:cNvPicPr>
                      <a:picLocks noChangeAspect="1" noChangeArrowheads="1"/>
                    </pic:cNvPicPr>
                  </pic:nvPicPr>
                  <pic:blipFill>
                    <a:blip r:embed="rId2"/>
                    <a:srcRect l="0" t="12679" r="0" b="5725"/>
                    <a:stretch>
                      <a:fillRect/>
                    </a:stretch>
                  </pic:blipFill>
                  <pic:spPr bwMode="auto">
                    <a:xfrm>
                      <a:off x="0" y="0"/>
                      <a:ext cx="6187440" cy="1682750"/>
                    </a:xfrm>
                    <a:prstGeom prst="rect">
                      <a:avLst/>
                    </a:prstGeom>
                  </pic:spPr>
                </pic:pic>
              </a:graphicData>
            </a:graphic>
          </wp:anchor>
        </w:drawing>
      </w: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w:t>
        <w:tab/>
        <w:t>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Llegada al aeropuerto de Buenos Aires. Recepción y traslado al hotel. Alojamiento.</w:t>
      </w:r>
    </w:p>
    <w:p>
      <w:pPr>
        <w:pStyle w:val="Normal"/>
        <w:spacing w:lineRule="auto" w:line="240" w:before="0" w:after="0"/>
        <w:jc w:val="both"/>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w:t>
        <w:tab/>
        <w:t>Buenos Aires – Iguazú (cataratas lado brasileño)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Cs/>
          <w:sz w:val="18"/>
          <w:szCs w:val="18"/>
          <w:lang w:val="es-ES_tradnl" w:eastAsia="es-ES"/>
        </w:rPr>
        <w:t>.</w:t>
      </w:r>
      <w:bookmarkStart w:id="0" w:name="_Hlk140854110"/>
      <w:bookmarkStart w:id="1" w:name="_Hlk155347875"/>
      <w:r>
        <w:rPr>
          <w:rFonts w:eastAsia="Times New Roman" w:cs="Arial" w:ascii="Arial" w:hAnsi="Arial"/>
          <w:bCs/>
          <w:sz w:val="18"/>
          <w:szCs w:val="18"/>
          <w:lang w:val="es-ES_tradnl" w:eastAsia="es-ES"/>
        </w:rPr>
        <w:t xml:space="preserve"> </w:t>
      </w:r>
      <w:r>
        <w:rPr>
          <w:rFonts w:eastAsia="Times New Roman" w:cs="Arial" w:ascii="Arial" w:hAnsi="Arial"/>
          <w:sz w:val="18"/>
          <w:szCs w:val="18"/>
          <w:lang w:val="es-ES_tradnl" w:eastAsia="es-ES"/>
        </w:rPr>
        <w:t>A la hora acordada traslado al aeropuerto para tomar vuelo a Iguazú (no incluido), recepción y traslado al hotel. El Parque Nacional do Iguazú (lado brasileño) posee una extensión de 185.000 hectáreas. Al arribo al centro del visitante, se ingresa por el portal de acceso en forma individual, donde se controla la capacidad de carga del Parque. A continuación,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Alojamiento.</w:t>
      </w:r>
    </w:p>
    <w:p>
      <w:pPr>
        <w:pStyle w:val="Normal"/>
        <w:spacing w:lineRule="auto" w:line="240" w:before="0" w:after="0"/>
        <w:jc w:val="both"/>
        <w:rPr>
          <w:rFonts w:ascii="Arial" w:hAnsi="Arial" w:cs="Arial"/>
          <w:i/>
          <w:i/>
          <w:iCs/>
          <w:color w:val="7F7F7F" w:themeColor="text1" w:themeTint="80"/>
          <w:sz w:val="10"/>
          <w:szCs w:val="10"/>
          <w:lang w:val="es-ES_tradnl" w:eastAsia="es-ES"/>
        </w:rPr>
      </w:pPr>
      <w:r>
        <w:rPr>
          <w:rFonts w:cs="Arial" w:ascii="Arial" w:hAnsi="Arial"/>
          <w:i/>
          <w:iCs/>
          <w:color w:val="7F7F7F" w:themeColor="text1" w:themeTint="80"/>
          <w:sz w:val="10"/>
          <w:szCs w:val="10"/>
          <w:lang w:val="es-ES_tradnl" w:eastAsia="es-ES"/>
        </w:rPr>
      </w:r>
    </w:p>
    <w:p>
      <w:pPr>
        <w:pStyle w:val="Normal"/>
        <w:spacing w:lineRule="auto" w:line="240" w:before="0" w:after="0"/>
        <w:jc w:val="both"/>
        <w:rPr>
          <w:rFonts w:ascii="Arial" w:hAnsi="Arial" w:cs="Arial"/>
          <w:i/>
          <w:i/>
          <w:iCs/>
          <w:color w:val="7F7F7F" w:themeColor="text1" w:themeTint="80"/>
          <w:sz w:val="18"/>
          <w:szCs w:val="18"/>
          <w:lang w:val="es-ES" w:eastAsia="es-ES"/>
        </w:rPr>
      </w:pPr>
      <w:r>
        <w:rPr>
          <w:rFonts w:cs="Arial" w:ascii="Arial" w:hAnsi="Arial"/>
          <w:i/>
          <w:iCs/>
          <w:color w:val="7F7F7F" w:themeColor="text1" w:themeShade="ff" w:themeTint="80"/>
          <w:sz w:val="18"/>
          <w:szCs w:val="18"/>
          <w:lang w:val="es-ES" w:eastAsia="es-ES"/>
        </w:rPr>
        <w:t xml:space="preserve">Importante: es primordial que los pasajeros que realicen las cataratas de lado brasileño el día de su llegada, el vuelo debe llegar antes de las 10:30hrs para poder realizar el recorrido y en caso de realizar las cataratas de lado brasileño el día de su salida al aeropuerto, el vuelo debe partir de las 18:00 hrs en adelante. </w:t>
      </w:r>
    </w:p>
    <w:p>
      <w:pPr>
        <w:pStyle w:val="NoSpacing"/>
        <w:widowControl w:val="false"/>
        <w:jc w:val="both"/>
        <w:textAlignment w:val="baseline"/>
        <w:rPr>
          <w:rFonts w:ascii="Arial" w:hAnsi="Arial" w:cs="Arial"/>
          <w:i/>
          <w:i/>
          <w:iCs/>
          <w:color w:val="7F7F7F" w:themeColor="text1" w:themeTint="80"/>
          <w:sz w:val="12"/>
          <w:szCs w:val="12"/>
          <w:lang w:val="es-ES_tradnl" w:eastAsia="es-ES"/>
        </w:rPr>
      </w:pPr>
      <w:r>
        <w:rPr>
          <w:rFonts w:cs="Arial" w:ascii="Arial" w:hAnsi="Arial"/>
          <w:i/>
          <w:iCs/>
          <w:color w:val="7F7F7F" w:themeColor="text1" w:themeTint="80"/>
          <w:sz w:val="18"/>
          <w:szCs w:val="18"/>
          <w:lang w:val="es-ES_tradnl" w:eastAsia="es-ES"/>
        </w:rPr>
        <w:t xml:space="preserve"> </w:t>
      </w:r>
    </w:p>
    <w:p>
      <w:pPr>
        <w:pStyle w:val="NoSpacing"/>
        <w:widowControl w:val="false"/>
        <w:jc w:val="both"/>
        <w:textAlignment w:val="baseline"/>
        <w:rPr>
          <w:rFonts w:ascii="Arial" w:hAnsi="Arial" w:cs="Arial"/>
          <w:i/>
          <w:i/>
          <w:iCs/>
          <w:color w:val="7F7F7F" w:themeColor="text1" w:themeTint="80"/>
          <w:sz w:val="18"/>
          <w:szCs w:val="18"/>
          <w:shd w:fill="FFFFFF" w:val="clear"/>
        </w:rPr>
      </w:pPr>
      <w:r>
        <w:rPr>
          <w:rFonts w:cs="Arial" w:ascii="Arial" w:hAnsi="Arial"/>
          <w:i/>
          <w:iCs/>
          <w:color w:val="7F7F7F" w:themeColor="text1" w:themeTint="80"/>
          <w:sz w:val="18"/>
          <w:szCs w:val="18"/>
          <w:lang w:val="es-ES_tradnl" w:eastAsia="es-ES"/>
        </w:rPr>
        <w:t xml:space="preserve">Nota: Para los traslados con vuelos domésticos desde Buenos Aires, deben salir del </w:t>
      </w:r>
      <w:r>
        <w:rPr>
          <w:rFonts w:cs="Arial" w:ascii="Arial" w:hAnsi="Arial"/>
          <w:i/>
          <w:iCs/>
          <w:color w:val="7F7F7F" w:themeColor="text1" w:themeTint="80"/>
          <w:sz w:val="18"/>
          <w:szCs w:val="18"/>
        </w:rPr>
        <w:t>Aeroparque Jorge Newbery</w:t>
      </w:r>
      <w:r>
        <w:rPr>
          <w:rFonts w:cs="Arial" w:ascii="Arial" w:hAnsi="Arial"/>
          <w:i/>
          <w:iCs/>
          <w:color w:val="7F7F7F" w:themeColor="text1" w:themeTint="80"/>
          <w:sz w:val="18"/>
          <w:szCs w:val="18"/>
          <w:shd w:fill="FFFFFF" w:val="clear"/>
        </w:rPr>
        <w:t xml:space="preserve"> (AEP), en caso de ser desde el Aeropuerto Internacional de Ezeiza (EZE) se cobrará un suplemento.  Considerar que el Aeropuerto Internacional de Ezeiza (EZE) se encuentra a 45 min de la ciudad, por lo que no se recomienda tomar vuelos con salidas antes de las 6:00 hrs. </w:t>
      </w:r>
      <w:bookmarkEnd w:id="1"/>
    </w:p>
    <w:p>
      <w:pPr>
        <w:pStyle w:val="Normal"/>
        <w:spacing w:lineRule="auto" w:line="240" w:before="0" w:after="0"/>
        <w:jc w:val="both"/>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bookmarkEnd w:id="0"/>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3      Iguazú (cataratas lado argentino)</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sz w:val="18"/>
          <w:szCs w:val="18"/>
          <w:lang w:val="es-ES" w:eastAsia="es-ES"/>
        </w:rPr>
        <w:t>.</w:t>
      </w:r>
      <w:r>
        <w:rPr>
          <w:rFonts w:eastAsia="Times New Roman" w:cs="Arial" w:ascii="Arial" w:hAnsi="Arial"/>
          <w:sz w:val="18"/>
          <w:szCs w:val="18"/>
          <w:lang w:val="es-ES" w:eastAsia="es-ES"/>
        </w:rPr>
        <w:t xml:space="preserve"> A la hora acordada salida para excursión Cataratas del Iguazú, lado argentino. Desde este centro del visitante, tenemos la opción de tomar el servicio de trenes que nos lleva hasta la Estación Cataratas o utilizar el Sendero Peatonal “Sendero Verde”, con lo que llegaríamos a la senda que nos lleva al Paseo Superior e Inferior. Paseo Superior: Recorrido de pasarelas, las que están elevadas. En este circuito, podemos apreciar las caídas de agua desde la parte superior de los saltos, apreciando la magnificencia de los mismos desde una vista panorámica. Paseo Inferior: Caminata por las pasarelas, también elevadas tomando la vista desde los pies de los saltos. Garganta Del Diablo: Partiendo desde la Estación Cataratas, el tren nos llevará hasta la Estación Garganta. Luego, caminata por las pasarelas el espectacular balcón del salto de mayor importancia de las Cataratas, la Garganta del Diablo. Alojamiento.</w:t>
      </w:r>
    </w:p>
    <w:p>
      <w:pPr>
        <w:pStyle w:val="Normal"/>
        <w:spacing w:lineRule="auto" w:line="240" w:before="0" w:after="0"/>
        <w:jc w:val="both"/>
        <w:rPr>
          <w:rFonts w:ascii="Arial" w:hAnsi="Arial" w:eastAsia="Times New Roman" w:cs="Arial"/>
          <w:b/>
          <w:b/>
          <w:color w:val="E36C0A" w:themeColor="accent6" w:themeShade="bf"/>
          <w:sz w:val="14"/>
          <w:szCs w:val="14"/>
          <w:lang w:val="es-ES_tradnl" w:eastAsia="es-ES"/>
        </w:rPr>
      </w:pPr>
      <w:r>
        <w:rPr>
          <w:rFonts w:eastAsia="Times New Roman" w:cs="Arial" w:ascii="Arial" w:hAnsi="Arial"/>
          <w:b/>
          <w:color w:val="E36C0A" w:themeColor="accent6" w:themeShade="bf"/>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4</w:t>
        <w:tab/>
        <w:t>Iguazú – Bariloche</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iCs/>
          <w:sz w:val="18"/>
          <w:szCs w:val="18"/>
          <w:lang w:val="es-ES_tradnl" w:eastAsia="es-ES"/>
        </w:rPr>
        <w:t xml:space="preserve"> </w:t>
      </w:r>
      <w:r>
        <w:rPr>
          <w:rFonts w:eastAsia="Times New Roman" w:cs="Arial" w:ascii="Arial" w:hAnsi="Arial"/>
          <w:sz w:val="18"/>
          <w:szCs w:val="18"/>
          <w:lang w:val="es-ES_tradnl" w:eastAsia="es-ES"/>
        </w:rPr>
        <w:t>A la hora indicada traslado al aeropuerto para tomar el vuelo con destino a Bariloche. A la llegada recepción y traslado al hotel. Alojamiento.</w:t>
      </w:r>
    </w:p>
    <w:p>
      <w:pPr>
        <w:pStyle w:val="Normal"/>
        <w:spacing w:lineRule="auto" w:line="240" w:before="0" w:after="0"/>
        <w:rPr>
          <w:rFonts w:ascii="Arial" w:hAnsi="Arial" w:eastAsia="Times New Roman" w:cs="Arial"/>
          <w:b/>
          <w:b/>
          <w:color w:val="E36C0A" w:themeColor="accent6" w:themeShade="bf"/>
          <w:sz w:val="14"/>
          <w:szCs w:val="14"/>
          <w:lang w:val="es-ES_tradnl" w:eastAsia="es-ES"/>
        </w:rPr>
      </w:pPr>
      <w:r>
        <w:rPr>
          <w:rFonts w:eastAsia="Times New Roman" w:cs="Arial" w:ascii="Arial" w:hAnsi="Arial"/>
          <w:b/>
          <w:color w:val="E36C0A" w:themeColor="accent6" w:themeShade="bf"/>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5      Bariloche (excursión Circuito Chico)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bCs/>
          <w:i/>
          <w:iCs/>
          <w:sz w:val="18"/>
          <w:szCs w:val="18"/>
          <w:u w:val="single"/>
          <w:lang w:val="es-ES_tradnl" w:eastAsia="es-ES"/>
        </w:rPr>
        <w:t>Desayuno.</w:t>
      </w:r>
      <w:r>
        <w:rPr>
          <w:rFonts w:eastAsia="Times New Roman" w:cs="Arial" w:ascii="Arial" w:hAnsi="Arial"/>
          <w:sz w:val="18"/>
          <w:szCs w:val="18"/>
          <w:lang w:val="es-ES_tradnl" w:eastAsia="es-ES"/>
        </w:rPr>
        <w:t xml:space="preserve"> </w:t>
      </w:r>
      <w:r>
        <w:rPr>
          <w:rFonts w:cs="Arial" w:ascii="Arial" w:hAnsi="Arial"/>
          <w:color w:val="000000"/>
          <w:sz w:val="18"/>
          <w:szCs w:val="18"/>
        </w:rPr>
        <w:t>El viaje se inicia desde Bariloche bordeando el Lago Nahuel Huapi. A la altura del Km. 8 esta Playa Bonita, desde donde se ve la Isla Huemul. Diez Km. más adelante se llega al pie del Cerro Campanario donde hay una aerosilla (no incluida) que llega hasta la cumbre (1050 m),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 Alojamiento.</w:t>
      </w:r>
    </w:p>
    <w:p>
      <w:pPr>
        <w:pStyle w:val="Normal"/>
        <w:spacing w:lineRule="auto" w:line="240" w:before="0" w:after="0"/>
        <w:jc w:val="both"/>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6</w:t>
        <w:tab/>
        <w:t xml:space="preserve"> Bariloche</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Día Libre para compras o compras opcionales. Alojamiento.</w:t>
      </w:r>
    </w:p>
    <w:p>
      <w:pPr>
        <w:pStyle w:val="Normal"/>
        <w:spacing w:lineRule="auto" w:line="240" w:before="0" w:after="0"/>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7</w:t>
        <w:tab/>
        <w:t xml:space="preserve"> Bariloche –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programada traslado al aeropuerto para tomar el vuelo (no incluido), con destino a Buenos Aires. A la llegada recepción y traslado al hotel. Alojamiento.</w:t>
      </w:r>
    </w:p>
    <w:p>
      <w:pPr>
        <w:pStyle w:val="Normal"/>
        <w:spacing w:lineRule="auto" w:line="240" w:before="0" w:after="0"/>
        <w:rPr>
          <w:rFonts w:ascii="Arial" w:hAnsi="Arial" w:eastAsia="Times New Roman" w:cs="Arial"/>
          <w:b/>
          <w:b/>
          <w:bCs/>
          <w:i/>
          <w:i/>
          <w:iCs/>
          <w:color w:val="000000" w:themeColor="text1"/>
          <w:sz w:val="12"/>
          <w:szCs w:val="12"/>
          <w:lang w:val="es-ES_tradnl" w:eastAsia="es-ES"/>
        </w:rPr>
      </w:pPr>
      <w:r>
        <w:rPr>
          <w:rFonts w:eastAsia="Times New Roman" w:cs="Arial" w:ascii="Arial" w:hAnsi="Arial"/>
          <w:b/>
          <w:bCs/>
          <w:i/>
          <w:iCs/>
          <w:color w:val="000000" w:themeColor="text1"/>
          <w:sz w:val="12"/>
          <w:szCs w:val="12"/>
          <w:lang w:val="es-ES_tradnl" w:eastAsia="es-ES"/>
        </w:rPr>
      </w:r>
      <w:bookmarkStart w:id="2" w:name="_Hlk140854145"/>
      <w:bookmarkStart w:id="3" w:name="_Hlk140854145"/>
      <w:bookmarkEnd w:id="3"/>
    </w:p>
    <w:p>
      <w:pPr>
        <w:pStyle w:val="NoSpacing"/>
        <w:widowControl w:val="false"/>
        <w:jc w:val="both"/>
        <w:textAlignment w:val="baseline"/>
        <w:rPr>
          <w:rFonts w:ascii="Arial" w:hAnsi="Arial" w:cs="Arial"/>
          <w:i/>
          <w:i/>
          <w:iCs/>
          <w:color w:val="7F7F7F" w:themeColor="text1" w:themeTint="80"/>
          <w:sz w:val="18"/>
          <w:szCs w:val="18"/>
          <w:shd w:fill="FFFFFF" w:val="clear"/>
        </w:rPr>
      </w:pPr>
      <w:bookmarkStart w:id="4" w:name="_Hlk155347894"/>
      <w:r>
        <w:rPr>
          <w:rFonts w:cs="Arial" w:ascii="Arial" w:hAnsi="Arial"/>
          <w:i/>
          <w:iCs/>
          <w:color w:val="7F7F7F" w:themeColor="text1" w:themeTint="80"/>
          <w:sz w:val="18"/>
          <w:szCs w:val="18"/>
          <w:lang w:val="es-ES_tradnl" w:eastAsia="es-ES"/>
        </w:rPr>
        <w:t>Nota: Para los traslados con vuelos domésticos a Buenos Aires, deben llegar al Aeroparque</w:t>
      </w:r>
      <w:r>
        <w:rPr>
          <w:rFonts w:cs="Arial" w:ascii="Arial" w:hAnsi="Arial"/>
          <w:i/>
          <w:iCs/>
          <w:color w:val="7F7F7F" w:themeColor="text1" w:themeTint="80"/>
          <w:sz w:val="18"/>
          <w:szCs w:val="18"/>
        </w:rPr>
        <w:t xml:space="preserve"> Jorge Newbery</w:t>
      </w:r>
      <w:r>
        <w:rPr>
          <w:rFonts w:cs="Arial" w:ascii="Arial" w:hAnsi="Arial"/>
          <w:i/>
          <w:iCs/>
          <w:color w:val="7F7F7F" w:themeColor="text1" w:themeTint="80"/>
          <w:sz w:val="18"/>
          <w:szCs w:val="18"/>
          <w:shd w:fill="FFFFFF" w:val="clear"/>
        </w:rPr>
        <w:t> (AEP), en caso de ser al Aeropuerto Internacional de Ezeiza (EZE) se cobrará un suplemento.  Considerar que el Aeropuerto Internacional de Ezeiza (EZE) se encuentra a 45 min de la ciudad, por lo que no se recomienda tomar vuelos con salidas antes de las 6:00 hrs</w:t>
      </w:r>
      <w:bookmarkEnd w:id="4"/>
      <w:r>
        <w:rPr>
          <w:rFonts w:cs="Arial" w:ascii="Arial" w:hAnsi="Arial"/>
          <w:i/>
          <w:iCs/>
          <w:color w:val="7F7F7F" w:themeColor="text1" w:themeTint="80"/>
          <w:sz w:val="18"/>
          <w:szCs w:val="18"/>
          <w:shd w:fill="FFFFFF" w:val="clear"/>
        </w:rPr>
        <w:t xml:space="preserve">. </w:t>
      </w:r>
    </w:p>
    <w:p>
      <w:pPr>
        <w:pStyle w:val="Normal"/>
        <w:spacing w:lineRule="auto" w:line="240" w:before="0" w:after="0"/>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bookmarkStart w:id="5" w:name="_Hlk1408541451"/>
      <w:bookmarkStart w:id="6" w:name="_Hlk1408541451"/>
      <w:bookmarkEnd w:id="6"/>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8</w:t>
        <w:tab/>
        <w:t xml:space="preserve"> Buenos Aires (visita de ciudad)</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i/>
          <w:iCs/>
          <w:sz w:val="18"/>
          <w:szCs w:val="18"/>
          <w:lang w:val="es-ES" w:eastAsia="es-ES"/>
        </w:rPr>
        <w:t xml:space="preserve"> </w:t>
      </w:r>
      <w:r>
        <w:rPr>
          <w:rFonts w:eastAsia="Times New Roman" w:cs="Arial" w:ascii="Arial" w:hAnsi="Arial"/>
          <w:sz w:val="18"/>
          <w:szCs w:val="18"/>
          <w:lang w:val="es-ES" w:eastAsia="es-ES"/>
        </w:rPr>
        <w:t>Descubra la ciudad de Buenos Aires comenzando por la Avenida 9 de Julio, el Teatro Lirico más importante de la Argentina Teatro Colon, Obelisco. Nos desviaremos por el ave. de Mayo hasta el edificio del Congreso Nacional que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Alojamiento.</w:t>
      </w:r>
    </w:p>
    <w:p>
      <w:pPr>
        <w:pStyle w:val="Normal"/>
        <w:spacing w:lineRule="auto" w:line="240" w:before="0" w:after="0"/>
        <w:jc w:val="both"/>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9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Día libre para compras o excursiones opcionales. Alojamiento.</w:t>
      </w:r>
    </w:p>
    <w:p>
      <w:pPr>
        <w:pStyle w:val="Normal"/>
        <w:spacing w:lineRule="auto" w:line="240" w:before="0" w:after="0"/>
        <w:rPr>
          <w:rFonts w:ascii="Arial" w:hAnsi="Arial" w:eastAsia="Times New Roman" w:cs="Arial"/>
          <w:sz w:val="14"/>
          <w:szCs w:val="14"/>
          <w:lang w:val="es-ES_tradnl" w:eastAsia="es-ES"/>
        </w:rPr>
      </w:pPr>
      <w:r>
        <w:rPr>
          <w:rFonts w:eastAsia="Times New Roman" w:cs="Arial" w:ascii="Arial" w:hAnsi="Arial"/>
          <w:sz w:val="14"/>
          <w:szCs w:val="14"/>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10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programada traslado al aeropuerto para abordar su vuelo de salida.</w:t>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 </w:t>
      </w:r>
      <w:r>
        <w:rPr>
          <w:rFonts w:eastAsia="Times New Roman" w:cs="Arial" w:ascii="Arial" w:hAnsi="Arial"/>
          <w:b/>
          <w:color w:val="E36C0A" w:themeColor="accent6" w:themeShade="bf"/>
          <w:sz w:val="18"/>
          <w:szCs w:val="18"/>
          <w:lang w:val="es-ES_tradnl" w:eastAsia="es-ES"/>
        </w:rPr>
        <w:t>FIN DE LOS SERVICIOS</w:t>
      </w:r>
      <w:r>
        <w:rPr>
          <w:rFonts w:eastAsia="Times New Roman" w:cs="Arial" w:ascii="Arial" w:hAnsi="Arial"/>
          <w:color w:val="000000"/>
          <w:sz w:val="18"/>
          <w:szCs w:val="18"/>
          <w:lang w:val="es-ES_tradnl" w:eastAsia="es-ES"/>
        </w:rPr>
        <w:t>.</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tbl>
      <w:tblPr>
        <w:tblStyle w:val="Tablaconcuadrcula"/>
        <w:tblW w:w="694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4"/>
        <w:gridCol w:w="1872"/>
        <w:gridCol w:w="1842"/>
        <w:gridCol w:w="1842"/>
      </w:tblGrid>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bookmarkStart w:id="7" w:name="_Hlk155346810"/>
            <w:bookmarkEnd w:id="7"/>
            <w:r>
              <w:rPr>
                <w:rFonts w:eastAsia="Times New Roman" w:cs="Arial" w:ascii="Arial" w:hAnsi="Arial"/>
                <w:b/>
                <w:color w:val="FFFFFF" w:themeColor="background1"/>
                <w:kern w:val="0"/>
                <w:sz w:val="18"/>
                <w:szCs w:val="18"/>
                <w:lang w:val="es-ES_tradnl" w:eastAsia="es-ES" w:bidi="ar-SA"/>
              </w:rPr>
              <w:t>CATEGORÍA</w:t>
            </w:r>
          </w:p>
        </w:tc>
        <w:tc>
          <w:tcPr>
            <w:tcW w:w="187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BUENOS AIRES</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IGUAZÚ</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BARILOCHE</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Two Buenos Aires</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Esturión</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Kenton</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Dazzler</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La Aldea de la Selva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Desing</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InterContinental Buenos Aires</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American</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Alma del Lago</w:t>
            </w:r>
          </w:p>
        </w:tc>
      </w:tr>
    </w:tbl>
    <w:p>
      <w:pPr>
        <w:pStyle w:val="Normal"/>
        <w:spacing w:lineRule="auto" w:line="240" w:before="0" w:after="0"/>
        <w:rPr>
          <w:rFonts w:ascii="Arial" w:hAnsi="Arial" w:cs="Arial"/>
          <w:b/>
          <w:b/>
          <w:bCs/>
          <w:i/>
          <w:i/>
          <w:iCs/>
          <w:sz w:val="18"/>
          <w:szCs w:val="18"/>
        </w:rPr>
      </w:pPr>
      <w:bookmarkStart w:id="8" w:name="_Hlk121826531"/>
      <w:bookmarkStart w:id="9" w:name="_Hlk1553468101"/>
      <w:bookmarkEnd w:id="9"/>
      <w:r>
        <w:rPr>
          <w:rFonts w:cs="Arial" w:ascii="Arial" w:hAnsi="Arial"/>
          <w:b/>
          <w:bCs/>
          <w:i/>
          <w:iCs/>
          <w:sz w:val="18"/>
          <w:szCs w:val="18"/>
        </w:rPr>
        <w:t xml:space="preserve">Nota: Hoteles mencionados solo son informativos, los hoteles confirmados se les hará saber al momento de realizar la reservación. </w:t>
      </w:r>
      <w:bookmarkEnd w:id="8"/>
    </w:p>
    <w:p>
      <w:pPr>
        <w:pStyle w:val="Normal"/>
        <w:spacing w:lineRule="auto" w:line="240" w:before="0" w:after="0"/>
        <w:rPr>
          <w:rFonts w:ascii="Arial" w:hAnsi="Arial" w:cs="Arial"/>
          <w:b/>
          <w:b/>
          <w:bCs/>
          <w:i/>
          <w:i/>
          <w:iCs/>
          <w:sz w:val="18"/>
          <w:szCs w:val="18"/>
        </w:rPr>
      </w:pPr>
      <w:r>
        <w:rPr>
          <w:rFonts w:cs="Arial" w:ascii="Arial" w:hAnsi="Arial"/>
          <w:b/>
          <w:bCs/>
          <w:i/>
          <w:iCs/>
          <w:sz w:val="18"/>
          <w:szCs w:val="18"/>
        </w:rPr>
        <w:t xml:space="preserve">Nos reservamos el derecho de cambio de hotel, respetando siempre la misma categoría </w:t>
      </w:r>
    </w:p>
    <w:p>
      <w:pPr>
        <w:pStyle w:val="Normal"/>
        <w:spacing w:lineRule="auto" w:line="240" w:before="0" w:after="0"/>
        <w:rPr>
          <w:rFonts w:ascii="Arial" w:hAnsi="Arial" w:cs="Arial"/>
          <w:b/>
          <w:b/>
          <w:bCs/>
          <w:i/>
          <w:i/>
          <w:iCs/>
          <w:sz w:val="18"/>
          <w:szCs w:val="18"/>
        </w:rPr>
      </w:pPr>
      <w:r>
        <w:rPr>
          <w:rFonts w:cs="Arial" w:ascii="Arial" w:hAnsi="Arial"/>
          <w:b/>
          <w:bCs/>
          <w:i/>
          <w:iCs/>
          <w:sz w:val="18"/>
          <w:szCs w:val="18"/>
        </w:rPr>
        <w:t>Todas las habitaciones son estándar, consulte a su ejecutivo para cambio de habitación</w:t>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USD: </w:t>
      </w:r>
    </w:p>
    <w:p>
      <w:pPr>
        <w:pStyle w:val="Normal"/>
        <w:spacing w:lineRule="auto" w:line="240" w:before="0" w:after="0"/>
        <w:rPr>
          <w:rFonts w:ascii="Arial" w:hAnsi="Arial" w:eastAsia="Times New Roman" w:cs="Arial"/>
          <w:b/>
          <w:b/>
          <w:color w:val="E36C0A" w:themeColor="accent6" w:themeShade="bf"/>
          <w:sz w:val="12"/>
          <w:szCs w:val="12"/>
          <w:u w:val="single"/>
          <w:lang w:val="es-ES_tradnl" w:eastAsia="es-ES"/>
        </w:rPr>
      </w:pPr>
      <w:r>
        <w:rPr>
          <w:rFonts w:eastAsia="Times New Roman" w:cs="Arial" w:ascii="Arial" w:hAnsi="Arial"/>
          <w:b/>
          <w:color w:val="E36C0A" w:themeColor="accent6" w:themeShade="bf"/>
          <w:sz w:val="12"/>
          <w:szCs w:val="12"/>
          <w:u w:val="single"/>
          <w:lang w:val="es-ES_tradnl" w:eastAsia="es-ES"/>
        </w:rPr>
      </w:r>
    </w:p>
    <w:tbl>
      <w:tblPr>
        <w:tblW w:w="938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417"/>
        <w:gridCol w:w="1299"/>
        <w:gridCol w:w="1134"/>
        <w:gridCol w:w="1132"/>
        <w:gridCol w:w="1135"/>
        <w:gridCol w:w="1132"/>
        <w:gridCol w:w="1133"/>
      </w:tblGrid>
      <w:tr>
        <w:trPr>
          <w:trHeight w:val="340" w:hRule="atLeast"/>
        </w:trPr>
        <w:tc>
          <w:tcPr>
            <w:tcW w:w="2417"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9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134"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132"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13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132"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02 -10 AÑOS</w:t>
            </w:r>
          </w:p>
        </w:tc>
        <w:tc>
          <w:tcPr>
            <w:tcW w:w="1133"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40" w:hRule="atLeast"/>
        </w:trPr>
        <w:tc>
          <w:tcPr>
            <w:tcW w:w="2417" w:type="dxa"/>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06/01/25 – 27/02/25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06/03/25 - 19/03/25</w:t>
            </w:r>
          </w:p>
        </w:tc>
        <w:tc>
          <w:tcPr>
            <w:tcW w:w="1299" w:type="dxa"/>
            <w:vMerge w:val="restart"/>
            <w:tcBorders>
              <w:top w:val="single" w:sz="4" w:space="0" w:color="DE6F00"/>
              <w:left w:val="single" w:sz="4" w:space="0" w:color="C65911"/>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134"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1,508 USD</w:t>
            </w:r>
          </w:p>
        </w:tc>
        <w:tc>
          <w:tcPr>
            <w:tcW w:w="1132"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1,050 USD</w:t>
            </w:r>
          </w:p>
        </w:tc>
        <w:tc>
          <w:tcPr>
            <w:tcW w:w="1135"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1,027 USD</w:t>
            </w:r>
          </w:p>
        </w:tc>
        <w:tc>
          <w:tcPr>
            <w:tcW w:w="1132"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1,027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1,868 USD</w:t>
            </w:r>
          </w:p>
        </w:tc>
      </w:tr>
      <w:tr>
        <w:trPr>
          <w:trHeight w:val="340" w:hRule="atLeast"/>
        </w:trPr>
        <w:tc>
          <w:tcPr>
            <w:tcW w:w="241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22/03/25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01/08/25 - 10/12/25</w:t>
            </w:r>
          </w:p>
        </w:tc>
        <w:tc>
          <w:tcPr>
            <w:tcW w:w="1299" w:type="dxa"/>
            <w:vMerge w:val="continue"/>
            <w:tcBorders>
              <w:top w:val="single" w:sz="4" w:space="0" w:color="DE6F00"/>
              <w:left w:val="single" w:sz="4" w:space="0" w:color="C65911"/>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1,863 USD</w:t>
            </w:r>
          </w:p>
        </w:tc>
        <w:tc>
          <w:tcPr>
            <w:tcW w:w="11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1,265 USD</w:t>
            </w:r>
          </w:p>
        </w:tc>
        <w:tc>
          <w:tcPr>
            <w:tcW w:w="113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1,259 USD</w:t>
            </w:r>
          </w:p>
        </w:tc>
        <w:tc>
          <w:tcPr>
            <w:tcW w:w="11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1,259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2,254 USD</w:t>
            </w:r>
          </w:p>
        </w:tc>
      </w:tr>
      <w:tr>
        <w:trPr>
          <w:trHeight w:val="340" w:hRule="atLeast"/>
        </w:trPr>
        <w:tc>
          <w:tcPr>
            <w:tcW w:w="2417"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06/01/25 – 27/02/25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06/03/25 - 19/03/25</w:t>
            </w:r>
          </w:p>
        </w:tc>
        <w:tc>
          <w:tcPr>
            <w:tcW w:w="1299" w:type="dxa"/>
            <w:vMerge w:val="restart"/>
            <w:tcBorders>
              <w:left w:val="single" w:sz="4" w:space="0" w:color="C65911"/>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13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1,720 USD</w:t>
            </w:r>
          </w:p>
        </w:tc>
        <w:tc>
          <w:tcPr>
            <w:tcW w:w="113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1,201 USD</w:t>
            </w:r>
          </w:p>
        </w:tc>
        <w:tc>
          <w:tcPr>
            <w:tcW w:w="113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1,194 USD</w:t>
            </w:r>
          </w:p>
        </w:tc>
        <w:tc>
          <w:tcPr>
            <w:tcW w:w="113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1,194 USD</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2,080 USD</w:t>
            </w:r>
          </w:p>
        </w:tc>
      </w:tr>
      <w:tr>
        <w:trPr>
          <w:trHeight w:val="340" w:hRule="atLeast"/>
        </w:trPr>
        <w:tc>
          <w:tcPr>
            <w:tcW w:w="2417"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22/03/25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01/08/25 - 10/12/25</w:t>
            </w:r>
          </w:p>
        </w:tc>
        <w:tc>
          <w:tcPr>
            <w:tcW w:w="1299" w:type="dxa"/>
            <w:vMerge w:val="continue"/>
            <w:tcBorders>
              <w:left w:val="single" w:sz="4" w:space="0" w:color="C65911"/>
              <w:bottom w:val="single" w:sz="4" w:space="0" w:color="DE6F00"/>
              <w:right w:val="single" w:sz="4" w:space="0" w:color="DE6F00"/>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2,447 USD</w:t>
            </w:r>
          </w:p>
        </w:tc>
        <w:tc>
          <w:tcPr>
            <w:tcW w:w="113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1,513 USD</w:t>
            </w:r>
          </w:p>
        </w:tc>
        <w:tc>
          <w:tcPr>
            <w:tcW w:w="113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1,466 USD</w:t>
            </w:r>
          </w:p>
        </w:tc>
        <w:tc>
          <w:tcPr>
            <w:tcW w:w="113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1,466 USD</w:t>
            </w:r>
          </w:p>
        </w:tc>
        <w:tc>
          <w:tcPr>
            <w:tcW w:w="113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2,837 USD</w:t>
            </w:r>
          </w:p>
        </w:tc>
      </w:tr>
      <w:tr>
        <w:trPr>
          <w:trHeight w:val="340" w:hRule="atLeast"/>
        </w:trPr>
        <w:tc>
          <w:tcPr>
            <w:tcW w:w="241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06/01/25 – 27/02/25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06/03/25 - 19/03/25</w:t>
            </w:r>
          </w:p>
        </w:tc>
        <w:tc>
          <w:tcPr>
            <w:tcW w:w="1299" w:type="dxa"/>
            <w:vMerge w:val="restart"/>
            <w:tcBorders>
              <w:left w:val="single" w:sz="4" w:space="0" w:color="C65911"/>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Superior</w:t>
            </w:r>
          </w:p>
        </w:tc>
        <w:tc>
          <w:tcPr>
            <w:tcW w:w="113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2,500 USD</w:t>
            </w:r>
          </w:p>
        </w:tc>
        <w:tc>
          <w:tcPr>
            <w:tcW w:w="11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1,513 USD</w:t>
            </w:r>
          </w:p>
        </w:tc>
        <w:tc>
          <w:tcPr>
            <w:tcW w:w="113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1,447 USD</w:t>
            </w:r>
          </w:p>
        </w:tc>
        <w:tc>
          <w:tcPr>
            <w:tcW w:w="11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1,447 USD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2,859 USD</w:t>
            </w:r>
          </w:p>
        </w:tc>
      </w:tr>
      <w:tr>
        <w:trPr>
          <w:trHeight w:val="340" w:hRule="atLeast"/>
        </w:trPr>
        <w:tc>
          <w:tcPr>
            <w:tcW w:w="241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22/03/25 – 31/03/25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01/08/25 - 10/12/25</w:t>
            </w:r>
          </w:p>
        </w:tc>
        <w:tc>
          <w:tcPr>
            <w:tcW w:w="1299" w:type="dxa"/>
            <w:vMerge w:val="continue"/>
            <w:tcBorders>
              <w:left w:val="single" w:sz="4" w:space="0" w:color="C65911"/>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3,438 USD</w:t>
            </w:r>
          </w:p>
        </w:tc>
        <w:tc>
          <w:tcPr>
            <w:tcW w:w="11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1,994 USD</w:t>
            </w:r>
          </w:p>
        </w:tc>
        <w:tc>
          <w:tcPr>
            <w:tcW w:w="113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1,791 USD</w:t>
            </w:r>
          </w:p>
        </w:tc>
        <w:tc>
          <w:tcPr>
            <w:tcW w:w="11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1,791 UD</w:t>
            </w:r>
          </w:p>
        </w:tc>
        <w:tc>
          <w:tcPr>
            <w:tcW w:w="113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3,857 USD</w:t>
            </w:r>
          </w:p>
        </w:tc>
      </w:tr>
    </w:tbl>
    <w:p>
      <w:pPr>
        <w:pStyle w:val="Paragraph"/>
        <w:spacing w:beforeAutospacing="0" w:before="0" w:afterAutospacing="0" w:after="0"/>
        <w:jc w:val="both"/>
        <w:textAlignment w:val="baseline"/>
        <w:rPr>
          <w:rFonts w:ascii="Arial" w:hAnsi="Arial" w:cs="Arial"/>
          <w:b/>
          <w:b/>
          <w:bCs/>
          <w:i/>
          <w:i/>
          <w:iCs/>
          <w:sz w:val="18"/>
          <w:szCs w:val="18"/>
        </w:rPr>
      </w:pPr>
      <w:bookmarkStart w:id="10" w:name="_Hlk155347946"/>
      <w:r>
        <w:rPr>
          <w:rFonts w:cs="Arial" w:ascii="Arial" w:hAnsi="Arial"/>
          <w:b/>
          <w:bCs/>
          <w:i/>
          <w:iCs/>
          <w:sz w:val="18"/>
          <w:szCs w:val="18"/>
        </w:rPr>
        <w:t>Nota: Tarifas a reconfirmar en fechas o periodos especiales, (feriados, navidad, año nuevo, carnaval, semana santa, mes de julio). Se permite 1 menor compartiendo habitación con 2 adultos en la misma habitación, con las camas disponibles.</w:t>
      </w:r>
      <w:bookmarkEnd w:id="10"/>
    </w:p>
    <w:p>
      <w:pPr>
        <w:pStyle w:val="Paragraph"/>
        <w:spacing w:beforeAutospacing="0" w:before="0" w:afterAutospacing="0" w:after="0"/>
        <w:jc w:val="both"/>
        <w:textAlignment w:val="baseline"/>
        <w:rPr>
          <w:rFonts w:ascii="Arial" w:hAnsi="Arial" w:cs="Arial"/>
          <w:b/>
          <w:b/>
          <w:bCs/>
          <w:i/>
          <w:i/>
          <w:iCs/>
          <w:sz w:val="18"/>
          <w:szCs w:val="18"/>
          <w:lang w:val="es-MX"/>
        </w:rPr>
      </w:pPr>
      <w:r>
        <w:rPr>
          <w:rFonts w:cs="Arial" w:ascii="Arial" w:hAnsi="Arial"/>
          <w:b/>
          <w:bCs/>
          <w:i/>
          <w:iCs/>
          <w:color w:val="FF0000"/>
          <w:sz w:val="18"/>
          <w:szCs w:val="18"/>
          <w:u w:val="single"/>
        </w:rPr>
        <w:t>*PVS:</w:t>
      </w:r>
      <w:r>
        <w:rPr>
          <w:rFonts w:cs="Arial" w:ascii="Arial" w:hAnsi="Arial"/>
          <w:b/>
          <w:bCs/>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INCLUYE:</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Traslados aeropuerto – hotel – aeropuerto </w:t>
      </w:r>
      <w:r>
        <w:rPr>
          <w:rFonts w:cs="Arial" w:ascii="Arial" w:hAnsi="Arial"/>
          <w:b/>
          <w:i/>
          <w:sz w:val="18"/>
          <w:szCs w:val="18"/>
          <w:lang w:val="es-ES_tradnl" w:eastAsia="es-ES"/>
        </w:rPr>
        <w:t>en servicio regular en horario diurno</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04 noche de alojamiento en Buenos Aires</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02 noches de alojamiento en Iguazú</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03 noches de alojamiento en Bariloche</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 xml:space="preserve">09 desayunos </w:t>
      </w:r>
      <w:r>
        <w:rPr>
          <w:rFonts w:cs="Arial" w:ascii="Arial" w:hAnsi="Arial"/>
          <w:sz w:val="18"/>
          <w:szCs w:val="18"/>
        </w:rPr>
        <w:t>(servido dentro del horario estipulado por el hotel)</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a Cataratas lado brasileño y lado argentino con ingreso incluido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a Circuito Chico con ingreso incluido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Visita de ciudad en Buenos Aires en servicio regular</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Guía en habla hispana</w:t>
      </w:r>
    </w:p>
    <w:p>
      <w:pPr>
        <w:pStyle w:val="NoSpacing"/>
        <w:widowControl w:val="false"/>
        <w:numPr>
          <w:ilvl w:val="0"/>
          <w:numId w:val="5"/>
        </w:numPr>
        <w:jc w:val="both"/>
        <w:textAlignment w:val="baseline"/>
        <w:rPr>
          <w:rFonts w:ascii="Arial" w:hAnsi="Arial" w:cs="Arial"/>
          <w:b/>
          <w:b/>
          <w:i/>
          <w:i/>
          <w:color w:val="000000"/>
          <w:sz w:val="18"/>
          <w:szCs w:val="18"/>
          <w:lang w:val="es-ES_tradnl" w:eastAsia="es-ES"/>
        </w:rPr>
      </w:pPr>
      <w:r>
        <w:rPr>
          <w:rFonts w:cs="Arial" w:ascii="Arial" w:hAnsi="Arial"/>
          <w:b/>
          <w:i/>
          <w:color w:val="000000"/>
          <w:sz w:val="18"/>
          <w:szCs w:val="18"/>
          <w:lang w:val="es-ES_tradnl" w:eastAsia="es-ES"/>
        </w:rPr>
        <w:t>Seguro de viaje con cobertura COVID</w:t>
      </w:r>
    </w:p>
    <w:p>
      <w:pPr>
        <w:pStyle w:val="NoSpacing"/>
        <w:widowControl w:val="false"/>
        <w:numPr>
          <w:ilvl w:val="0"/>
          <w:numId w:val="5"/>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Asistencia 24hrs</w:t>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NO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Buenos Aires – Iguazú – Bariloche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y propinas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Alimentos no mencionados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Tasa Turística en Iguazú (pago directo en destino)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Impuestos de Alojamiento en Buenos Aires y Bariloche (pago directo en destino)</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SUPLEMENTOS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rPr>
        <w:t>PRECIO POR PERSONA EN USD</w:t>
      </w:r>
      <w:r>
        <w:rPr>
          <w:rFonts w:eastAsia="Times New Roman" w:cs="Arial" w:ascii="Arial" w:hAnsi="Arial"/>
          <w:b/>
          <w:color w:val="E36C0A" w:themeColor="accent6" w:themeShade="bf"/>
          <w:sz w:val="18"/>
          <w:szCs w:val="18"/>
          <w:u w:val="single"/>
          <w:lang w:val="es-ES_tradnl" w:eastAsia="es-ES"/>
        </w:rPr>
        <w:t>:</w:t>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tbl>
      <w:tblPr>
        <w:tblStyle w:val="Tablaconcuadrcula"/>
        <w:tblW w:w="680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95"/>
        <w:gridCol w:w="1286"/>
        <w:gridCol w:w="1276"/>
        <w:gridCol w:w="1275"/>
        <w:gridCol w:w="1276"/>
      </w:tblGrid>
      <w:tr>
        <w:trPr>
          <w:trHeight w:val="340" w:hRule="atLeast"/>
        </w:trPr>
        <w:tc>
          <w:tcPr>
            <w:tcW w:w="6808" w:type="dxa"/>
            <w:gridSpan w:val="5"/>
            <w:tcBorders>
              <w:top w:val="single" w:sz="4" w:space="0" w:color="C00000"/>
              <w:left w:val="single" w:sz="4" w:space="0" w:color="C00000"/>
              <w:bottom w:val="single" w:sz="4" w:space="0" w:color="E36C0A"/>
              <w:right w:val="single" w:sz="4" w:space="0" w:color="C00000"/>
            </w:tcBorders>
            <w:shd w:color="auto" w:fill="C00000" w:val="clear"/>
            <w:vAlign w:val="center"/>
          </w:tcPr>
          <w:p>
            <w:pPr>
              <w:pStyle w:val="Normal"/>
              <w:widowControl w:val="false"/>
              <w:suppressAutoHyphens w:val="true"/>
              <w:spacing w:lineRule="auto" w:line="240" w:before="0" w:after="0"/>
              <w:jc w:val="left"/>
              <w:rPr>
                <w:rFonts w:ascii="Arial" w:hAnsi="Arial" w:cs="Arial"/>
                <w:b/>
                <w:b/>
                <w:bCs/>
                <w:sz w:val="18"/>
                <w:szCs w:val="18"/>
              </w:rPr>
            </w:pPr>
            <w:r>
              <w:rPr>
                <w:rFonts w:eastAsia="Calibri" w:cs="Arial" w:ascii="Arial" w:hAnsi="Arial"/>
                <w:b/>
                <w:bCs/>
                <w:color w:val="FFFFFF" w:themeColor="background1"/>
                <w:kern w:val="0"/>
                <w:sz w:val="18"/>
                <w:szCs w:val="18"/>
                <w:lang w:eastAsia="en-US" w:bidi="ar-SA"/>
              </w:rPr>
              <w:t xml:space="preserve">Traslados nocturnos después de las 22:00hrs y antes de las 07:00hrs – One way (un solo trayecto) </w:t>
            </w:r>
            <w:r>
              <w:rPr>
                <w:rFonts w:eastAsia="Calibri" w:cs="Arial" w:ascii="Arial" w:hAnsi="Arial"/>
                <w:b/>
                <w:bCs/>
                <w:color w:val="FFFFFF" w:themeColor="background1"/>
                <w:kern w:val="0"/>
                <w:sz w:val="18"/>
                <w:szCs w:val="18"/>
                <w:lang w:eastAsia="en-US" w:bidi="ar-SA"/>
              </w:rPr>
              <w:t>por pasajero</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E36C0A" w:themeColor="accent6" w:themeShade="bf"/>
                <w:sz w:val="18"/>
                <w:szCs w:val="18"/>
                <w:lang w:val="es-ES_tradnl" w:eastAsia="es-ES"/>
              </w:rPr>
            </w:pPr>
            <w:r>
              <w:rPr>
                <w:rFonts w:eastAsia="Times New Roman" w:cs="Arial" w:ascii="Arial" w:hAnsi="Arial"/>
                <w:b/>
                <w:bCs/>
                <w:color w:val="000000" w:themeColor="text1"/>
                <w:kern w:val="0"/>
                <w:sz w:val="18"/>
                <w:szCs w:val="18"/>
                <w:lang w:eastAsia="es-ES" w:bidi="ar-SA"/>
              </w:rPr>
              <w:t>Ciudad</w:t>
            </w:r>
          </w:p>
        </w:tc>
        <w:tc>
          <w:tcPr>
            <w:tcW w:w="128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1 Pasajero</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2 Pasajeros</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3 Pasajeros</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4 Pasajeros</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Bariloche</w:t>
            </w:r>
          </w:p>
        </w:tc>
        <w:tc>
          <w:tcPr>
            <w:tcW w:w="128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36</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26</w:t>
            </w:r>
          </w:p>
        </w:tc>
        <w:tc>
          <w:tcPr>
            <w:tcW w:w="127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49</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38</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Iguazú</w:t>
            </w:r>
          </w:p>
        </w:tc>
        <w:tc>
          <w:tcPr>
            <w:tcW w:w="128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119</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60</w:t>
            </w:r>
          </w:p>
        </w:tc>
        <w:tc>
          <w:tcPr>
            <w:tcW w:w="127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50</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bookmarkStart w:id="11" w:name="_Hlk155347077"/>
            <w:r>
              <w:rPr>
                <w:rFonts w:eastAsia="Times New Roman" w:cs="Arial" w:ascii="Arial" w:hAnsi="Arial"/>
                <w:bCs/>
                <w:color w:val="000000" w:themeColor="text1"/>
                <w:kern w:val="0"/>
                <w:sz w:val="18"/>
                <w:szCs w:val="18"/>
                <w:lang w:val="es-ES_tradnl" w:eastAsia="es-ES" w:bidi="ar-SA"/>
              </w:rPr>
              <w:t>USD 46</w:t>
            </w:r>
            <w:bookmarkEnd w:id="11"/>
          </w:p>
        </w:tc>
      </w:tr>
    </w:tbl>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sz w:val="18"/>
          <w:szCs w:val="18"/>
          <w:shd w:fill="FFFFFF" w:val="clear"/>
        </w:rPr>
        <w:t xml:space="preserve">Nota: El servicio de traslado nocturno de llegada o salida se brinda en privado con chofer en español. </w:t>
      </w:r>
      <w:r>
        <w:rPr>
          <w:rFonts w:cs="Arial" w:ascii="Arial" w:hAnsi="Arial"/>
          <w:b/>
          <w:bCs/>
          <w:i/>
          <w:iCs/>
          <w:color w:val="000000" w:themeColor="text1"/>
          <w:sz w:val="18"/>
          <w:szCs w:val="18"/>
          <w:shd w:fill="FFFFFF" w:val="clear"/>
        </w:rPr>
        <w:t>En Buenos Aires no hay suplemento por servicios nocturnos.</w:t>
      </w:r>
    </w:p>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themeColor="text1"/>
          <w:sz w:val="18"/>
          <w:szCs w:val="18"/>
          <w:shd w:fill="FFFFFF" w:val="clear"/>
        </w:rPr>
      </w:r>
    </w:p>
    <w:tbl>
      <w:tblPr>
        <w:tblW w:w="864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652"/>
        <w:gridCol w:w="1163"/>
        <w:gridCol w:w="1275"/>
        <w:gridCol w:w="1274"/>
        <w:gridCol w:w="1278"/>
      </w:tblGrid>
      <w:tr>
        <w:trPr>
          <w:trHeight w:val="397" w:hRule="atLeast"/>
        </w:trPr>
        <w:tc>
          <w:tcPr>
            <w:tcW w:w="3652" w:type="dxa"/>
            <w:vMerge w:val="restart"/>
            <w:tcBorders>
              <w:top w:val="single" w:sz="4" w:space="0" w:color="C00000"/>
              <w:left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rPr>
                <w:rFonts w:ascii="Arial" w:hAnsi="Arial" w:eastAsia="Times New Roman" w:cs="Arial"/>
                <w:b/>
                <w:b/>
                <w:bCs/>
                <w:color w:val="FFFFFF" w:themeColor="background1"/>
                <w:sz w:val="18"/>
                <w:szCs w:val="18"/>
                <w:lang w:eastAsia="es-ES"/>
              </w:rPr>
            </w:pPr>
            <w:bookmarkStart w:id="12" w:name="_Hlk155347104"/>
            <w:r>
              <w:rPr>
                <w:rFonts w:eastAsia="Times New Roman" w:cs="Arial" w:ascii="Arial" w:hAnsi="Arial"/>
                <w:b/>
                <w:bCs/>
                <w:color w:val="FFFFFF" w:themeColor="background1"/>
                <w:sz w:val="18"/>
                <w:szCs w:val="18"/>
                <w:lang w:eastAsia="es-ES"/>
              </w:rPr>
              <w:t xml:space="preserve">Traslado arribo/salida desde o hacia EZE (aeropuerto internacional) en vuelos domésticos – One way </w:t>
            </w:r>
            <w:r>
              <w:rPr>
                <w:rFonts w:eastAsia="Times New Roman" w:cs="Arial" w:ascii="Arial" w:hAnsi="Arial"/>
                <w:b/>
                <w:bCs/>
                <w:color w:val="FFFFFF" w:themeColor="background1"/>
                <w:sz w:val="18"/>
                <w:szCs w:val="18"/>
                <w:lang w:eastAsia="es-ES"/>
              </w:rPr>
              <w:t xml:space="preserve">por pasajero </w:t>
            </w:r>
          </w:p>
        </w:tc>
        <w:tc>
          <w:tcPr>
            <w:tcW w:w="1163"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1 Pasajero</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2 Pasajeros</w:t>
            </w:r>
          </w:p>
        </w:tc>
        <w:tc>
          <w:tcPr>
            <w:tcW w:w="1274"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3 Pasajeros</w:t>
            </w:r>
          </w:p>
        </w:tc>
        <w:tc>
          <w:tcPr>
            <w:tcW w:w="1278"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4 Pasajeros</w:t>
            </w:r>
          </w:p>
        </w:tc>
      </w:tr>
      <w:tr>
        <w:trPr>
          <w:trHeight w:val="397" w:hRule="atLeast"/>
        </w:trPr>
        <w:tc>
          <w:tcPr>
            <w:tcW w:w="3652" w:type="dxa"/>
            <w:vMerge w:val="continue"/>
            <w:tcBorders>
              <w:left w:val="single" w:sz="4" w:space="0" w:color="C00000"/>
              <w:bottom w:val="single" w:sz="4" w:space="0" w:color="C00000"/>
              <w:right w:val="single" w:sz="4" w:space="0" w:color="C00000"/>
            </w:tcBorders>
            <w:shd w:color="auto" w:fill="C00000"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1163"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54</w:t>
            </w:r>
          </w:p>
        </w:tc>
        <w:tc>
          <w:tcPr>
            <w:tcW w:w="1275"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38</w:t>
            </w:r>
          </w:p>
        </w:tc>
        <w:tc>
          <w:tcPr>
            <w:tcW w:w="1274"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32</w:t>
            </w:r>
          </w:p>
        </w:tc>
        <w:tc>
          <w:tcPr>
            <w:tcW w:w="1278"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28</w:t>
            </w:r>
            <w:bookmarkEnd w:id="12"/>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jc w:val="both"/>
        <w:textAlignment w:val="baseline"/>
        <w:rPr>
          <w:rFonts w:ascii="Arial" w:hAnsi="Arial" w:cs="Arial"/>
          <w:color w:val="FF0000"/>
          <w:sz w:val="10"/>
          <w:szCs w:val="10"/>
          <w:lang w:val="es-ES_tradnl" w:eastAsia="es-ES"/>
        </w:rPr>
      </w:pPr>
      <w:r>
        <w:rPr>
          <w:rFonts w:cs="Arial" w:ascii="Arial" w:hAnsi="Arial"/>
          <w:color w:val="FF0000"/>
          <w:sz w:val="10"/>
          <w:szCs w:val="10"/>
          <w:lang w:val="es-ES_tradnl" w:eastAsia="es-ES"/>
        </w:rPr>
      </w:r>
    </w:p>
    <w:p>
      <w:pPr>
        <w:pStyle w:val="NoSpacing"/>
        <w:widowControl w:val="false"/>
        <w:numPr>
          <w:ilvl w:val="0"/>
          <w:numId w:val="6"/>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pPr>
        <w:pStyle w:val="NoSpacing"/>
        <w:widowControl w:val="false"/>
        <w:numPr>
          <w:ilvl w:val="0"/>
          <w:numId w:val="2"/>
        </w:numPr>
        <w:jc w:val="both"/>
        <w:textAlignment w:val="baseline"/>
        <w:rPr>
          <w:rFonts w:ascii="Arial" w:hAnsi="Arial" w:cs="Arial"/>
          <w:b/>
          <w:b/>
          <w:i/>
          <w:i/>
          <w:sz w:val="18"/>
          <w:szCs w:val="18"/>
          <w:lang w:val="es-ES_tradnl" w:eastAsia="es-ES"/>
        </w:rPr>
      </w:pPr>
      <w:r>
        <w:rPr>
          <w:rFonts w:cs="Arial" w:ascii="Arial" w:hAnsi="Arial"/>
          <w:b/>
          <w:i/>
          <w:sz w:val="18"/>
          <w:szCs w:val="18"/>
          <w:lang w:val="es-ES_tradnl" w:eastAsia="es-ES"/>
        </w:rPr>
        <w:t>ARGENTINA:</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Informamos que el Gobierno de la Ciudad de Buenos Aires, se establece el cobro de una percepción sobre el Derecho de Uso Urbano llamada “TASA VISIT CABA”. Aplica a turistas no residentes, a partir de los 12 años, dicho impuesto se cobrará al momento del check-out en la recepción del hotel, sin excepción, en base al Tipo de Cambio oficial de Banco Nación, por cada noche de alojamiento y a cada uno de los pasajeros no residentes. Se emitirá Factura tipo B por dicho concepto que será entregada al pasajero en cuanto se retire del hotel. Se pagará por noche y por persona dependiendo de la característica del alojamiento utilizado, los precios mencionados son orientativos y sujetos a cambio por disposición de del gobierno de la Ciudad de Buenos Aires:</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3* estrellas USD 0.50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4* estrellas USD 1.00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5* estrellas USD 1.50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Boutique USD 1.00</w:t>
      </w:r>
    </w:p>
    <w:p>
      <w:pPr>
        <w:pStyle w:val="NoSpacing"/>
        <w:widowControl w:val="false"/>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Apart Hoteles USD 0.50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Cruceros USD 1.00</w:t>
      </w:r>
    </w:p>
    <w:p>
      <w:pPr>
        <w:pStyle w:val="NoSpacing"/>
        <w:widowControl w:val="false"/>
        <w:numPr>
          <w:ilvl w:val="0"/>
          <w:numId w:val="6"/>
        </w:numPr>
        <w:jc w:val="both"/>
        <w:textAlignment w:val="baseline"/>
        <w:rPr>
          <w:b/>
          <w:b/>
          <w:bCs/>
          <w:i/>
          <w:i/>
          <w:iCs/>
        </w:rPr>
      </w:pPr>
      <w:r>
        <w:rPr>
          <w:rFonts w:cs="Arial" w:ascii="Arial" w:hAnsi="Arial"/>
          <w:b/>
          <w:bCs/>
          <w:i/>
          <w:iCs/>
          <w:sz w:val="18"/>
          <w:szCs w:val="18"/>
          <w:lang w:val="es-ES" w:eastAsia="es-ES"/>
        </w:rPr>
        <w:t>BARILOCHE:</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Informamos que de acuerdo a la nueva Ordenanza Fiscal y Tarifaria, que el consejo Municipal de San Carlos de Bariloche ha sancionado, se ha establecido una Eco Tasa para la preservación y cuidado del medio ambiente y el entorno natural Esta EcoTasa será cobrada directamente al PASAJERO en el HOTEL donde se aloje Se cobrará un valor en pesos, de acuerdo con la categoría del hotel conforme la siguiente tabla, por noche (hasta un máximo de tres 3 noches) por pasajero mayor de 14 años Valores ECOTASA por Alojamientos por noche por persona</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3* - ARS 250</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4* - ARS 360</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5* - ARS 480</w:t>
      </w:r>
    </w:p>
    <w:p>
      <w:pPr>
        <w:pStyle w:val="NoSpacing"/>
        <w:widowControl w:val="false"/>
        <w:numPr>
          <w:ilvl w:val="0"/>
          <w:numId w:val="0"/>
        </w:numPr>
        <w:ind w:left="720" w:hanging="0"/>
        <w:jc w:val="both"/>
        <w:textAlignment w:val="baseline"/>
        <w:rPr>
          <w:rFonts w:ascii="Arial" w:hAnsi="Arial" w:cs="Arial"/>
          <w:sz w:val="18"/>
          <w:szCs w:val="18"/>
          <w:lang w:val="es-ES" w:eastAsia="es-ES"/>
        </w:rPr>
      </w:pPr>
      <w:r>
        <w:rPr>
          <w:rFonts w:cs="Arial" w:ascii="Arial" w:hAnsi="Arial"/>
          <w:sz w:val="18"/>
          <w:szCs w:val="18"/>
          <w:lang w:val="es-ES" w:eastAsia="es-ES"/>
        </w:rPr>
        <w:t>El monto correspondientes será cobrado por el hotel al pasajero al momento del Check out los precios mencionados son orientativos y sujetos a cambio por disposición de del gobierno de la Ciudad de Buenos Aires</w:t>
      </w:r>
    </w:p>
    <w:p>
      <w:pPr>
        <w:pStyle w:val="NoSpacing"/>
        <w:widowControl w:val="false"/>
        <w:numPr>
          <w:ilvl w:val="0"/>
          <w:numId w:val="6"/>
        </w:numPr>
        <w:jc w:val="both"/>
        <w:textAlignment w:val="baseline"/>
        <w:rPr>
          <w:rFonts w:ascii="Arial" w:hAnsi="Arial" w:cs="Arial"/>
          <w:sz w:val="18"/>
          <w:szCs w:val="18"/>
          <w:lang w:val="es-ES" w:eastAsia="es-ES"/>
        </w:rPr>
      </w:pPr>
      <w:r>
        <w:rPr>
          <w:rFonts w:cs="Arial" w:ascii="Arial" w:hAnsi="Arial"/>
          <w:b/>
          <w:bCs/>
          <w:i/>
          <w:iCs/>
          <w:sz w:val="18"/>
          <w:szCs w:val="18"/>
          <w:lang w:val="es-ES" w:eastAsia="es-ES"/>
        </w:rPr>
        <w:t>IGUAZU</w:t>
      </w:r>
      <w:r>
        <w:rPr>
          <w:rFonts w:cs="Arial" w:ascii="Arial" w:hAnsi="Arial"/>
          <w:sz w:val="18"/>
          <w:szCs w:val="18"/>
          <w:lang w:val="es-ES" w:eastAsia="es-ES"/>
        </w:rPr>
        <w:t>: Tasas turísticas en Iguazú, 2 usd por noche por persona</w:t>
      </w:r>
    </w:p>
    <w:p>
      <w:pPr>
        <w:pStyle w:val="NoSpacing"/>
        <w:widowControl w:val="false"/>
        <w:numPr>
          <w:ilvl w:val="0"/>
          <w:numId w:val="6"/>
        </w:numPr>
        <w:jc w:val="both"/>
        <w:textAlignment w:val="baseline"/>
        <w:rPr>
          <w:rFonts w:ascii="Arial" w:hAnsi="Arial" w:cs="Arial"/>
          <w:sz w:val="18"/>
          <w:szCs w:val="18"/>
          <w:lang w:val="es-ES" w:eastAsia="es-ES"/>
        </w:rPr>
      </w:pPr>
      <w:r>
        <w:rPr>
          <w:rFonts w:cs="Arial" w:ascii="Arial" w:hAnsi="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rPr>
        <w:t>Los servicios de traslados y excursiones son otorgados como servicios regulares;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eastAsia="es-ES"/>
        </w:rPr>
        <w:t>Consulte suplemento para traslados desde y/o hasta el aeropuerto en horario nocturno.</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Los horarios de registro de entrada (check-in 15:00 hrs) y salida (check-out 09:00 hrs)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 xml:space="preserve">Los hoteles comienzan el servicio de desayuno en un horario entre las 07:00 y las 8:00hrs, por lo que en caso de los pasajeros tengan vuelos con salidas antes de este horario, Tourmundial no se hace responsable de la pérdida o reposición del servicio, así como el hotel no garantiza el servicio de box lunch o “desayuno to go”. </w:t>
      </w:r>
    </w:p>
    <w:p>
      <w:pPr>
        <w:pStyle w:val="ListParagraph"/>
        <w:widowControl w:val="false"/>
        <w:numPr>
          <w:ilvl w:val="0"/>
          <w:numId w:val="2"/>
        </w:numPr>
        <w:spacing w:lineRule="auto" w:line="240" w:before="0" w:after="0"/>
        <w:contextualSpacing/>
        <w:jc w:val="both"/>
        <w:rPr>
          <w:rFonts w:ascii="Arial" w:hAnsi="Arial" w:cs="Arial"/>
          <w:sz w:val="18"/>
          <w:szCs w:val="18"/>
          <w:lang w:eastAsia="es-ES"/>
        </w:rPr>
      </w:pPr>
      <w:r>
        <w:rPr>
          <w:rFonts w:cs="Arial" w:ascii="Arial" w:hAnsi="Arial"/>
          <w:sz w:val="18"/>
          <w:szCs w:val="18"/>
        </w:rPr>
        <w:t>Operación a partir de mínimo 2 personas.</w:t>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rmal"/>
        <w:spacing w:lineRule="auto" w:line="240" w:before="0" w:after="0"/>
        <w:jc w:val="both"/>
        <w:rPr>
          <w:rFonts w:ascii="Arial" w:hAnsi="Arial" w:eastAsia="Times New Roman" w:cs="Arial"/>
          <w:b/>
          <w:b/>
          <w:sz w:val="18"/>
          <w:szCs w:val="18"/>
          <w:u w:val="single"/>
          <w:lang w:val="es-ES_tradnl" w:eastAsia="es-ES"/>
        </w:rPr>
      </w:pPr>
      <w:r>
        <w:rPr>
          <w:rFonts w:eastAsia="Times New Roman" w:cs="Arial" w:ascii="Arial" w:hAnsi="Arial"/>
          <w:b/>
          <w:sz w:val="18"/>
          <w:szCs w:val="18"/>
          <w:u w:val="single"/>
          <w:lang w:val="es-ES_tradnl"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textAlignment w:val="baseline"/>
        <w:rPr>
          <w:rFonts w:ascii="Arial" w:hAnsi="Arial" w:cs="Arial"/>
          <w:b/>
          <w:b/>
          <w:color w:val="E36C0A" w:themeColor="accent6" w:themeShade="bf"/>
          <w:sz w:val="12"/>
          <w:szCs w:val="12"/>
          <w:u w:val="single"/>
          <w:lang w:val="es-ES_tradnl" w:eastAsia="es-ES"/>
        </w:rPr>
      </w:pPr>
      <w:r>
        <w:rPr>
          <w:rFonts w:cs="Arial" w:ascii="Arial" w:hAnsi="Arial"/>
          <w:b/>
          <w:color w:val="E36C0A" w:themeColor="accent6" w:themeShade="bf"/>
          <w:sz w:val="12"/>
          <w:szCs w:val="12"/>
          <w:u w:val="single"/>
          <w:lang w:val="es-ES_tradnl" w:eastAsia="es-ES"/>
        </w:rPr>
      </w:r>
    </w:p>
    <w:p>
      <w:pPr>
        <w:pStyle w:val="NoSpacing"/>
        <w:widowControl w:val="false"/>
        <w:textAlignment w:val="baseline"/>
        <w:rPr>
          <w:rFonts w:ascii="Arial" w:hAnsi="Arial" w:cs="Arial"/>
          <w:b/>
          <w:b/>
          <w:color w:val="E36C0A" w:themeColor="accent6" w:themeShade="bf"/>
          <w:sz w:val="12"/>
          <w:szCs w:val="12"/>
          <w:u w:val="single"/>
          <w:lang w:val="es-ES_tradnl" w:eastAsia="es-ES"/>
        </w:rPr>
      </w:pPr>
      <w:r>
        <w:rPr>
          <w:rFonts w:cs="Arial" w:ascii="Arial" w:hAnsi="Arial"/>
          <w:b/>
          <w:color w:val="E36C0A" w:themeColor="accent6" w:themeShade="bf"/>
          <w:sz w:val="12"/>
          <w:szCs w:val="12"/>
          <w:u w:val="single"/>
          <w:lang w:val="es-ES_tradnl" w:eastAsia="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HASTA EL 10 DE DICIEMBRE 2025</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SE REQUIERE DE PREPAGO</w:t>
      </w:r>
    </w:p>
    <w:tbl>
      <w:tblPr>
        <w:tblStyle w:val="Sombreadomedio1-nfasis6"/>
        <w:tblW w:w="874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749"/>
      </w:tblGrid>
      <w:tr>
        <w:trPr>
          <w:trHeight w:val="323" w:hRule="atLeast"/>
          <w:cnfStyle w:val="100000000000" w:firstRow="1" w:lastRow="0" w:firstColumn="0" w:lastColumn="0" w:oddVBand="0" w:evenVBand="0" w:oddHBand="0" w:evenHBand="0" w:firstRowFirstColumn="0" w:firstRowLastColumn="0" w:lastRowFirstColumn="0" w:lastRowLastColumn="0"/>
        </w:trPr>
        <w:tc>
          <w:tcPr>
            <w:tcW w:w="8749"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23" w:hRule="atLeast"/>
          <w:cnfStyle w:val="000000100000" w:firstRow="0" w:lastRow="0" w:firstColumn="0" w:lastColumn="0" w:oddVBand="0" w:evenVBand="0" w:oddHBand="1" w:evenHBand="0" w:firstRowFirstColumn="0" w:firstRowLastColumn="0" w:lastRowFirstColumn="0" w:lastRowLastColumn="0"/>
        </w:trPr>
        <w:tc>
          <w:tcPr>
            <w:tcW w:w="8749"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34 días antes de la fecha de salida del pasajero: SIN CARGO.</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Spacing"/>
        <w:widowControl w:val="false"/>
        <w:textAlignment w:val="baseline"/>
        <w:rPr>
          <w:rFonts w:ascii="Arial" w:hAnsi="Arial" w:cs="Arial"/>
          <w:b/>
          <w:b/>
          <w:sz w:val="2"/>
          <w:szCs w:val="2"/>
          <w:u w:val="single"/>
          <w:lang w:val="es-ES_tradnl" w:eastAsia="es-ES"/>
        </w:rPr>
      </w:pPr>
      <w:r>
        <w:rPr>
          <w:rFonts w:cs="Arial" w:ascii="Arial" w:hAnsi="Arial"/>
          <w:b/>
          <w:sz w:val="2"/>
          <w:szCs w:val="2"/>
          <w:u w:val="single"/>
          <w:lang w:val="es-ES_tradnl" w:eastAsia="es-ES"/>
        </w:rPr>
      </w:r>
    </w:p>
    <w:p>
      <w:pPr>
        <w:pStyle w:val="NoSpacing"/>
        <w:widowControl w:val="false"/>
        <w:jc w:val="center"/>
        <w:textAlignment w:val="baseline"/>
        <w:rPr>
          <w:rFonts w:ascii="Arial" w:hAnsi="Arial" w:cs="Arial"/>
          <w:lang w:val="es-MX"/>
        </w:rPr>
      </w:pPr>
      <w:r>
        <w:rPr>
          <w:rFonts w:cs="Arial" w:ascii="Arial" w:hAnsi="Arial"/>
          <w:b/>
          <w:sz w:val="18"/>
          <w:szCs w:val="18"/>
          <w:u w:val="single"/>
          <w:lang w:val="es-ES_tradnl" w:eastAsia="es-ES"/>
        </w:rPr>
        <w:t>El presente documento es de carácter informativo, más no una confirmación.</w:t>
      </w:r>
    </w:p>
    <w:sectPr>
      <w:headerReference w:type="even" r:id="rId4"/>
      <w:headerReference w:type="default" r:id="rId5"/>
      <w:headerReference w:type="first" r:id="rId6"/>
      <w:footerReference w:type="even" r:id="rId7"/>
      <w:footerReference w:type="default" r:id="rId8"/>
      <w:footerReference w:type="first" r:id="rId9"/>
      <w:type w:val="nextPage"/>
      <w:pgSz w:w="11906" w:h="16838"/>
      <w:pgMar w:left="1080" w:right="1080" w:gutter="0" w:header="709" w:top="1440" w:footer="351"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Lato">
    <w:charset w:val="00"/>
    <w:family w:val="roman"/>
    <w:pitch w:val="variable"/>
  </w:font>
  <w:font w:name="Arial">
    <w:charset w:val="00"/>
    <w:family w:val="roman"/>
    <w:pitch w:val="variable"/>
  </w:font>
  <w:font w:name="Proxima Nova Alt Lt">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 </w:t>
    </w: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 xml:space="preserve"> reservaciones@tourmundial.mx</w:t>
      </w:r>
    </w:hyperlink>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 </w:t>
    </w: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rPr>
        <w:rFonts w:ascii="Calibri" w:hAnsi="Calibri" w:eastAsia="Times New Roman" w:cs="Calibri"/>
        <w:color w:val="000000"/>
        <w:lang w:eastAsia="es-ES"/>
      </w:rPr>
    </w:pPr>
    <w:r>
      <w:rPr>
        <w:rFonts w:eastAsia="Times New Roman" w:cs="Calibri"/>
        <w:color w:val="000000"/>
        <w:lang w:eastAsia="es-ES"/>
      </w:rPr>
      <mc:AlternateContent>
        <mc:Choice Requires="wps">
          <w:drawing>
            <wp:anchor behindDoc="1" distT="12700" distB="12700" distL="12700" distR="12700" simplePos="0" locked="0" layoutInCell="0" allowOverlap="1" relativeHeight="6" wp14:anchorId="0D21B2F5">
              <wp:simplePos x="0" y="0"/>
              <wp:positionH relativeFrom="page">
                <wp:posOffset>-1200150</wp:posOffset>
              </wp:positionH>
              <wp:positionV relativeFrom="paragraph">
                <wp:posOffset>-545465</wp:posOffset>
              </wp:positionV>
              <wp:extent cx="9525000" cy="990600"/>
              <wp:effectExtent l="12700" t="12700" r="12700" b="12700"/>
              <wp:wrapNone/>
              <wp:docPr id="2" name="Rectángulo 1"/>
              <a:graphic xmlns:a="http://schemas.openxmlformats.org/drawingml/2006/main">
                <a:graphicData uri="http://schemas.microsoft.com/office/word/2010/wordprocessingShape">
                  <wps:wsp>
                    <wps:cNvSpPr/>
                    <wps:spPr>
                      <a:xfrm>
                        <a:off x="0" y="0"/>
                        <a:ext cx="9524880" cy="9907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94.5pt;margin-top:-42.95pt;width:749.95pt;height:77.95pt;mso-wrap-style:none;v-text-anchor:middle;mso-position-horizontal-relative:page" wp14:anchorId="0D21B2F5">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10">
          <wp:simplePos x="0" y="0"/>
          <wp:positionH relativeFrom="column">
            <wp:posOffset>-266700</wp:posOffset>
          </wp:positionH>
          <wp:positionV relativeFrom="paragraph">
            <wp:posOffset>-212090</wp:posOffset>
          </wp:positionV>
          <wp:extent cx="1920875" cy="463550"/>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20875" cy="463550"/>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rPr>
        <w:rFonts w:ascii="Calibri" w:hAnsi="Calibri" w:eastAsia="Times New Roman" w:cs="Calibri"/>
        <w:color w:val="000000"/>
        <w:lang w:eastAsia="es-ES"/>
      </w:rPr>
    </w:pPr>
    <w:r>
      <w:rPr>
        <w:rFonts w:eastAsia="Times New Roman" w:cs="Calibri"/>
        <w:color w:val="000000"/>
        <w:lang w:eastAsia="es-ES"/>
      </w:rPr>
      <mc:AlternateContent>
        <mc:Choice Requires="wps">
          <w:drawing>
            <wp:anchor behindDoc="1" distT="12700" distB="12700" distL="12700" distR="12700" simplePos="0" locked="0" layoutInCell="0" allowOverlap="1" relativeHeight="6" wp14:anchorId="0D21B2F5">
              <wp:simplePos x="0" y="0"/>
              <wp:positionH relativeFrom="page">
                <wp:posOffset>-1200150</wp:posOffset>
              </wp:positionH>
              <wp:positionV relativeFrom="paragraph">
                <wp:posOffset>-545465</wp:posOffset>
              </wp:positionV>
              <wp:extent cx="9525000" cy="990600"/>
              <wp:effectExtent l="12700" t="12700" r="12700" b="12700"/>
              <wp:wrapNone/>
              <wp:docPr id="4" name="Rectángulo 1"/>
              <a:graphic xmlns:a="http://schemas.openxmlformats.org/drawingml/2006/main">
                <a:graphicData uri="http://schemas.microsoft.com/office/word/2010/wordprocessingShape">
                  <wps:wsp>
                    <wps:cNvSpPr/>
                    <wps:spPr>
                      <a:xfrm>
                        <a:off x="0" y="0"/>
                        <a:ext cx="9524880" cy="9907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94.5pt;margin-top:-42.95pt;width:749.95pt;height:77.95pt;mso-wrap-style:none;v-text-anchor:middle;mso-position-horizontal-relative:page" wp14:anchorId="0D21B2F5">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10">
          <wp:simplePos x="0" y="0"/>
          <wp:positionH relativeFrom="column">
            <wp:posOffset>-266700</wp:posOffset>
          </wp:positionH>
          <wp:positionV relativeFrom="paragraph">
            <wp:posOffset>-212090</wp:posOffset>
          </wp:positionV>
          <wp:extent cx="1920875" cy="463550"/>
          <wp:effectExtent l="0" t="0" r="0" b="0"/>
          <wp:wrapNone/>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1920875" cy="4635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qFormat/>
    <w:rsid w:val="00240742"/>
    <w:rPr>
      <w:b/>
      <w:bCs/>
    </w:rPr>
  </w:style>
  <w:style w:type="character" w:styleId="TextodegloboCar" w:customStyle="1">
    <w:name w:val="Texto de globo Car"/>
    <w:basedOn w:val="DefaultParagraphFont"/>
    <w:link w:val="BalloonText"/>
    <w:uiPriority w:val="99"/>
    <w:semiHidden/>
    <w:qFormat/>
    <w:rsid w:val="000061d1"/>
    <w:rPr>
      <w:rFonts w:ascii="Tahoma" w:hAnsi="Tahoma" w:cs="Tahoma"/>
      <w:sz w:val="16"/>
      <w:szCs w:val="16"/>
      <w:lang w:val="es-ES"/>
    </w:rPr>
  </w:style>
  <w:style w:type="character" w:styleId="Normaltextrun" w:customStyle="1">
    <w:name w:val="normaltextrun"/>
    <w:basedOn w:val="DefaultParagraphFont"/>
    <w:qFormat/>
    <w:rsid w:val="00ff2215"/>
    <w:rPr/>
  </w:style>
  <w:style w:type="character" w:styleId="Eop" w:customStyle="1">
    <w:name w:val="eop"/>
    <w:basedOn w:val="DefaultParagraphFont"/>
    <w:qFormat/>
    <w:rsid w:val="00ff2215"/>
    <w:rPr/>
  </w:style>
  <w:style w:type="character" w:styleId="Destacado">
    <w:name w:val="Destacado"/>
    <w:basedOn w:val="DefaultParagraphFont"/>
    <w:uiPriority w:val="20"/>
    <w:qFormat/>
    <w:rsid w:val="00dd30d5"/>
    <w:rPr>
      <w:i/>
      <w:i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e82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e82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e8238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0061d1"/>
    <w:pPr>
      <w:spacing w:lineRule="auto" w:line="240" w:before="0" w:after="0"/>
    </w:pPr>
    <w:rPr>
      <w:rFonts w:ascii="Tahoma" w:hAnsi="Tahoma" w:cs="Tahoma"/>
      <w:sz w:val="16"/>
      <w:szCs w:val="16"/>
    </w:rPr>
  </w:style>
  <w:style w:type="paragraph" w:styleId="Paragraph" w:customStyle="1">
    <w:name w:val="paragraph"/>
    <w:basedOn w:val="Normal"/>
    <w:qFormat/>
    <w:rsid w:val="00ff2215"/>
    <w:pPr>
      <w:spacing w:lineRule="auto" w:line="240" w:beforeAutospacing="1" w:afterAutospacing="1"/>
    </w:pPr>
    <w:rPr>
      <w:rFonts w:ascii="Times New Roman" w:hAnsi="Times New Roman" w:eastAsia="Times New Roman" w:cs="Times New Roman"/>
      <w:sz w:val="24"/>
      <w:szCs w:val="24"/>
      <w:lang w:eastAsia="es-ES"/>
    </w:rPr>
  </w:style>
  <w:style w:type="paragraph" w:styleId="Default">
    <w:name w:val="Default"/>
    <w:qFormat/>
    <w:pPr>
      <w:widowControl/>
      <w:suppressAutoHyphens w:val="true"/>
      <w:bidi w:val="0"/>
      <w:spacing w:lineRule="auto" w:line="276" w:before="0" w:after="200"/>
      <w:jc w:val="left"/>
    </w:pPr>
    <w:rPr>
      <w:rFonts w:ascii="Lato" w:hAnsi="Lato" w:eastAsia="Calibri" w:cs=""/>
      <w:color w:val="000000"/>
      <w:kern w:val="0"/>
      <w:sz w:val="24"/>
      <w:szCs w:val="22"/>
      <w:lang w:val="es-MX" w:eastAsia="en-US"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ea29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Relationship Id="rId15" Type="http://schemas.openxmlformats.org/officeDocument/2006/relationships/customXml" Target="../customXml/item2.xml"/><Relationship Id="rId16" Type="http://schemas.openxmlformats.org/officeDocument/2006/relationships/customXml" Target="../customXml/item3.xml"/><Relationship Id="rId17" Type="http://schemas.openxmlformats.org/officeDocument/2006/relationships/customXml" Target="../customXml/item4.xml"/>
</Relationships>
</file>

<file path=word/_rels/footer2.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footer3.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77385D-B455-44EE-8420-63BE87D74828}"/>
</file>

<file path=customXml/itemProps2.xml><?xml version="1.0" encoding="utf-8"?>
<ds:datastoreItem xmlns:ds="http://schemas.openxmlformats.org/officeDocument/2006/customXml" ds:itemID="{00D12EC8-615E-4EC7-8222-2BC7AC72A711}"/>
</file>

<file path=customXml/itemProps3.xml><?xml version="1.0" encoding="utf-8"?>
<ds:datastoreItem xmlns:ds="http://schemas.openxmlformats.org/officeDocument/2006/customXml" ds:itemID="{3073BCFF-9FCC-45C4-AB6E-7A8EB256A9CA}">
  <ds:schemaRefs>
    <ds:schemaRef ds:uri="http://schemas.openxmlformats.org/officeDocument/2006/bibliography"/>
  </ds:schemaRefs>
</ds:datastoreItem>
</file>

<file path=customXml/itemProps4.xml><?xml version="1.0" encoding="utf-8"?>
<ds:datastoreItem xmlns:ds="http://schemas.openxmlformats.org/officeDocument/2006/customXml" ds:itemID="{8D672CAC-C7E6-4E16-825F-9FC58CF9B13B}"/>
</file>

<file path=docProps/app.xml><?xml version="1.0" encoding="utf-8"?>
<Properties xmlns="http://schemas.openxmlformats.org/officeDocument/2006/extended-properties" xmlns:vt="http://schemas.openxmlformats.org/officeDocument/2006/docPropsVTypes">
  <Template>Normal</Template>
  <TotalTime>26</TotalTime>
  <Application>LibreOffice/7.3.5.2$Windows_X86_64 LibreOffice_project/184fe81b8c8c30d8b5082578aee2fed2ea847c01</Application>
  <AppVersion>15.0000</AppVersion>
  <Pages>4</Pages>
  <Words>2339</Words>
  <Characters>11990</Characters>
  <CharactersWithSpaces>14169</CharactersWithSpaces>
  <Paragraphs>208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2024-11-21T17:25:00Z</dcterms:created>
  <dc:creator>High Tech</dc:creator>
  <dc:description/>
  <dc:language>es-MX</dc:language>
  <cp:lastModifiedBy/>
  <cp:lastPrinted>2024-01-12T19:06:00Z</cp:lastPrinted>
  <dcterms:modified xsi:type="dcterms:W3CDTF">2025-02-10T12:51:43Z</dcterms:modified>
  <cp:revision>38</cp:revision>
  <dc:subject/>
  <dc:title>Slide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587b935884c93ea035a45195d3c76dff7c838ae192c79ccb9939341df19fa4d7</vt:lpwstr>
  </property>
  <property fmtid="{D5CDD505-2E9C-101B-9397-08002B2CF9AE}" pid="4" name="MediaServiceImageTags">
    <vt:lpwstr/>
  </property>
</Properties>
</file>