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541E824" w:rsidP="4592BFCD" w:rsidRDefault="3541E824" w14:paraId="5FA95196" w14:textId="57032109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2"/>
          <w:szCs w:val="32"/>
          <w:lang w:val="es-ES"/>
        </w:rPr>
      </w:pPr>
      <w:r w:rsidRPr="4592BFCD" w:rsidR="5662521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2"/>
          <w:szCs w:val="32"/>
          <w:lang w:val="es-ES"/>
        </w:rPr>
        <w:t>Gran tour desde Casablanca</w:t>
      </w:r>
    </w:p>
    <w:p w:rsidR="3541E824" w:rsidP="4592BFCD" w:rsidRDefault="3541E824" w14:paraId="51E388A3" w14:textId="2A2CDD53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noProof w:val="0"/>
          <w:sz w:val="24"/>
          <w:szCs w:val="24"/>
          <w:lang w:val="es-ES"/>
        </w:rPr>
        <w:t>(08 días / 07 noches)</w:t>
      </w:r>
    </w:p>
    <w:p w:rsidR="4592BFCD" w:rsidP="4592BFCD" w:rsidRDefault="4592BFCD" w14:paraId="20765150" w14:textId="7C9A07EF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592BFCD" w:rsidRDefault="3541E824" w14:paraId="62E7443B" w14:textId="72DE32C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Días de inicio de tour: </w:t>
      </w:r>
      <w:r w:rsidRPr="4592BFCD" w:rsidR="1C67D16C">
        <w:rPr>
          <w:rFonts w:ascii="Calibri" w:hAnsi="Calibri" w:eastAsia="Calibri" w:cs="Calibri"/>
          <w:noProof w:val="0"/>
          <w:sz w:val="24"/>
          <w:szCs w:val="24"/>
          <w:lang w:val="es-ES"/>
        </w:rPr>
        <w:t>sábado</w:t>
      </w:r>
    </w:p>
    <w:p w:rsidR="1C67D16C" w:rsidP="4592BFCD" w:rsidRDefault="1C67D16C" w14:paraId="53930BC0" w14:textId="7160A913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C67D16C">
        <w:rPr>
          <w:rFonts w:ascii="Calibri" w:hAnsi="Calibri" w:eastAsia="Calibri" w:cs="Calibri"/>
          <w:noProof w:val="0"/>
          <w:sz w:val="24"/>
          <w:szCs w:val="24"/>
          <w:lang w:val="es-ES"/>
        </w:rPr>
        <w:t>Vigencia: hasta febrero 2026</w:t>
      </w:r>
    </w:p>
    <w:p w:rsidR="3541E824" w:rsidP="64668D5A" w:rsidRDefault="3541E824" w14:paraId="791E318F" w14:textId="572FF5A8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</w:pPr>
      <w:r w:rsidRPr="64668D5A" w:rsidR="4D82BA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SALIDAS GARANTIZADAS CON UN MÍNIMO DE </w:t>
      </w:r>
      <w:r w:rsidRPr="64668D5A" w:rsidR="2FD7A74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0</w:t>
      </w:r>
      <w:r w:rsidRPr="64668D5A" w:rsidR="4D82BA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2 PA</w:t>
      </w:r>
      <w:r w:rsidRPr="64668D5A" w:rsidR="47DEB3B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SAJEROS</w:t>
      </w:r>
    </w:p>
    <w:p w:rsidR="3541E824" w:rsidP="4592BFCD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Itinerario</w:t>
      </w:r>
    </w:p>
    <w:p w:rsidR="3541E824" w:rsidP="4592BFCD" w:rsidRDefault="3541E824" w14:paraId="1996D195" w14:textId="5848036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4592BFCD" w:rsidR="42BD093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1</w:t>
      </w:r>
      <w:r w:rsidRPr="4592BFCD" w:rsidR="23060DE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Casablanca</w:t>
      </w:r>
    </w:p>
    <w:p w:rsidR="75896997" w:rsidP="4592BFCD" w:rsidRDefault="75896997" w14:paraId="70436E99" w14:textId="4F66DC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75896997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Llegada al Aeropuerto Internacional de Casablanca. Asistencia y traslado al hotel. Tiempo libre. Cena y alojamiento. </w:t>
      </w:r>
    </w:p>
    <w:p w:rsidR="4592BFCD" w:rsidP="4592BFCD" w:rsidRDefault="4592BFCD" w14:paraId="24E39250" w14:textId="12E25576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592BFCD" w:rsidRDefault="3541E824" w14:paraId="18FDA9D1" w14:textId="0DAE40F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4592BFCD" w:rsidR="12DE2AB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2</w:t>
      </w:r>
      <w:r w:rsidRPr="4592BFCD" w:rsidR="7235099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: Casablanca – Rabat – Meknes – </w:t>
      </w:r>
      <w:r w:rsidRPr="4592BFCD" w:rsidR="7235099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Fes</w:t>
      </w:r>
    </w:p>
    <w:p w:rsidR="72350998" w:rsidP="4592BFCD" w:rsidRDefault="72350998" w14:paraId="0067429C" w14:textId="28AF9C1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Desayuno y visita panorámica de la ciudad comenzando por el Boulevard de la 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Corniche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el paseo marítimo y la carretera de la costa, por donde se llega a 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Anfa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distinguido barrio que destaca por sus lujosas villas. El recorrido nos llevará hacia los exteriores de la gran Mezquita de Hassan II (opcionalmente se podrá visitar el interior de 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la misma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). Se trata del momento más representativo del Siglo XX.</w:t>
      </w:r>
    </w:p>
    <w:p w:rsidR="72350998" w:rsidP="4592BFCD" w:rsidRDefault="72350998" w14:paraId="787064D9" w14:textId="570559D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Salida por carretera a la ciudad Imperial de Rabat. Su visita comienza por el Palacio Real; Dar el 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Makhzen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. Posteriormente, se visitará la 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Kasbah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de los 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Oudaya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. Continuación al Mausoleo de Mohamed V, la Mezquita inacabada y la Torre de Hassan. Almuerzo libre y continuación atravesando fértiles valles hasta llegar a la ciudad de Meknes. Visita de esta ciudad Imperial comenzando por sus murallas, con sus magníficas puertas como: 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Bab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el Mansur, el Estanque del 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Agdal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y la Plaza de 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Bab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Lahdim</w:t>
      </w: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>. Tiempo libre para el almuerzo no incluido para continuar hacia Fez.</w:t>
      </w:r>
    </w:p>
    <w:p w:rsidR="72350998" w:rsidP="4592BFCD" w:rsidRDefault="72350998" w14:paraId="62EB3BA3" w14:textId="4403915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7235099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Llegada e instalación en el hotel. Cena y alojamiento.  </w:t>
      </w:r>
    </w:p>
    <w:p w:rsidR="5C7ABCF8" w:rsidP="4592BFCD" w:rsidRDefault="5C7ABCF8" w14:paraId="41B18FBC" w14:textId="472B56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592BFCD" w:rsidRDefault="3541E824" w14:paraId="75F2C9C3" w14:textId="12B618A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4592BFCD" w:rsidR="7F294C5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3</w:t>
      </w:r>
      <w:r w:rsidRPr="4592BFCD" w:rsidR="1EA57F3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Fez</w:t>
      </w:r>
    </w:p>
    <w:p w:rsidR="1EA57F36" w:rsidP="4592BFCD" w:rsidRDefault="1EA57F36" w14:paraId="2B6F1E79" w14:textId="3C5B0F30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Desayuno en el hotel y visita de Fez, la visita comienza por las puertas doradas del Palacio Real. Visitaremos la antigua Medina con su Medersa de Bou </w:t>
      </w: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>Anania</w:t>
      </w: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la Fuente </w:t>
      </w: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>Nejjarine</w:t>
      </w: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una de las más bellas de la medina, Mezquita </w:t>
      </w: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>Karaouine</w:t>
      </w: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que alberga uno de los principales centros culturales del islam y es la sede de la universidad de Fez, y el Mausoleo de Moulay </w:t>
      </w: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>Idriss</w:t>
      </w: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>. Nos detendremos en el famoso barrio de los curtidores, único en el mundo. Parada para el almuerzo (no incluido).</w:t>
      </w:r>
    </w:p>
    <w:p w:rsidR="1EA57F36" w:rsidP="4592BFCD" w:rsidRDefault="1EA57F36" w14:paraId="0949F60B" w14:textId="1A94FFB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>Por la tarde, continuamos visitando Fez, con sus barrios artesanos divididos por gremios.</w:t>
      </w:r>
    </w:p>
    <w:p w:rsidR="1EA57F36" w:rsidP="4592BFCD" w:rsidRDefault="1EA57F36" w14:paraId="03464D5C" w14:textId="72D6C7A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EA57F3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Cena y alojamiento en el hotel. </w:t>
      </w:r>
    </w:p>
    <w:p w:rsidR="5C7ABCF8" w:rsidP="4592BFCD" w:rsidRDefault="5C7ABCF8" w14:paraId="051B8E12" w14:textId="51B4A14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592BFCD" w:rsidRDefault="3541E824" w14:paraId="62703DCF" w14:textId="50053E1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fr-FR"/>
        </w:rPr>
      </w:pP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fr-FR"/>
        </w:rPr>
        <w:t>Día</w:t>
      </w: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fr-FR"/>
        </w:rPr>
        <w:t xml:space="preserve"> </w:t>
      </w:r>
      <w:r w:rsidRPr="4592BFCD" w:rsidR="5E66EC1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fr-FR"/>
        </w:rPr>
        <w:t>04:</w:t>
      </w:r>
      <w:r w:rsidRPr="4592BFCD" w:rsidR="5E66EC1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fr-FR"/>
        </w:rPr>
        <w:t xml:space="preserve"> Fez – </w:t>
      </w:r>
      <w:r w:rsidRPr="4592BFCD" w:rsidR="5E66EC1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fr-FR"/>
        </w:rPr>
        <w:t>Ifrane</w:t>
      </w:r>
      <w:r w:rsidRPr="4592BFCD" w:rsidR="5E66EC1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fr-FR"/>
        </w:rPr>
        <w:t xml:space="preserve"> – Midelt – Errachidia – </w:t>
      </w:r>
      <w:r w:rsidRPr="4592BFCD" w:rsidR="5E66EC1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fr-FR"/>
        </w:rPr>
        <w:t>Erfoud</w:t>
      </w:r>
    </w:p>
    <w:p w:rsidR="5E66EC10" w:rsidP="4592BFCD" w:rsidRDefault="5E66EC10" w14:paraId="03CC8CF4" w14:textId="489D4E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Desayuno en el hotel. Salida hacia </w:t>
      </w: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>Ifrane</w:t>
      </w: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ciudad con características europeas, conocida como la Suiza marroquí, breve paseo y continuación cruzando los bosques de cedro hasta llegar a la ciudad de </w:t>
      </w: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>Midelt</w:t>
      </w: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almuerzo libre y dirección hacia la capital de la zona de </w:t>
      </w: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>Tafilalet</w:t>
      </w: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la ciudad de </w:t>
      </w: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>Errachidia</w:t>
      </w: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breve paseo y continuación hacia el pueblo de </w:t>
      </w: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>Erfoud</w:t>
      </w:r>
      <w:r w:rsidRPr="4592BFCD" w:rsidR="5E66EC10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antiguo centro comercial y puerta del verdadero desierto. Instalación en el hotel. Cena y alojamiento. </w:t>
      </w:r>
    </w:p>
    <w:p w:rsidR="4592BFCD" w:rsidP="4592BFCD" w:rsidRDefault="4592BFCD" w14:paraId="073E4137" w14:textId="1F7183F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592BFCD" w:rsidRDefault="3541E824" w14:paraId="1E7C5DD6" w14:textId="750A00B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4592BFCD" w:rsidR="3E697CA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5</w:t>
      </w:r>
      <w:r w:rsidRPr="4592BFCD" w:rsidR="45A8FE8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: </w:t>
      </w:r>
      <w:r w:rsidRPr="4592BFCD" w:rsidR="45A8FE8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Erfoud</w:t>
      </w:r>
      <w:r w:rsidRPr="4592BFCD" w:rsidR="45A8FE8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Gargantas del </w:t>
      </w:r>
      <w:r w:rsidRPr="4592BFCD" w:rsidR="45A8FE8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Todra</w:t>
      </w:r>
      <w:r w:rsidRPr="4592BFCD" w:rsidR="45A8FE8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</w:t>
      </w:r>
      <w:r w:rsidRPr="4592BFCD" w:rsidR="45A8FE8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Ouarzazate</w:t>
      </w:r>
    </w:p>
    <w:p w:rsidR="45A8FE89" w:rsidP="4592BFCD" w:rsidRDefault="45A8FE89" w14:paraId="3F92BA51" w14:textId="308BB9B1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Desayuno en el hotel. Nos dirigimos hacia </w:t>
      </w: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>Rissani</w:t>
      </w: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cuna de la dinastía actual y antiguo centro comercial. Visita panorámica de este pueblo y continuación hacia uno de los paisajes más hermosos del viaje; las Gargantas del </w:t>
      </w: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>Todra</w:t>
      </w: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. Almuerzo libre y dirección hacia </w:t>
      </w: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>Ouarzazate</w:t>
      </w: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vía la ruta de las </w:t>
      </w: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>kasbahs</w:t>
      </w: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; una serie de fortalezas de adobe con torres almenadas adornadas de ladrillo crudo. Llegada a </w:t>
      </w: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>Ouarzazate</w:t>
      </w:r>
      <w:r w:rsidRPr="4592BFCD" w:rsidR="45A8FE89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. Cena y alojamiento en el hotel.   </w:t>
      </w:r>
    </w:p>
    <w:p w:rsidR="5C7ABCF8" w:rsidP="4592BFCD" w:rsidRDefault="5C7ABCF8" w14:paraId="2F05E38B" w14:textId="5D24F6B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592BFCD" w:rsidRDefault="3541E824" w14:paraId="5693FBCA" w14:textId="00F93F5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4592BFCD" w:rsidR="2E0C280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6</w:t>
      </w:r>
      <w:r w:rsidRPr="4592BFCD" w:rsidR="2AC6D1D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: </w:t>
      </w:r>
      <w:r w:rsidRPr="4592BFCD" w:rsidR="2AC6D1D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Ouarzazate</w:t>
      </w:r>
      <w:r w:rsidRPr="4592BFCD" w:rsidR="2AC6D1D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</w:t>
      </w:r>
      <w:r w:rsidRPr="4592BFCD" w:rsidR="2AC6D1D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Ait</w:t>
      </w:r>
      <w:r w:rsidRPr="4592BFCD" w:rsidR="2AC6D1D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Ben </w:t>
      </w:r>
      <w:r w:rsidRPr="4592BFCD" w:rsidR="2AC6D1D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Haddou</w:t>
      </w:r>
      <w:r w:rsidRPr="4592BFCD" w:rsidR="2AC6D1D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Marrakech</w:t>
      </w:r>
    </w:p>
    <w:p w:rsidR="26622A86" w:rsidP="4592BFCD" w:rsidRDefault="26622A86" w14:paraId="0A2EA838" w14:textId="719EC79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Desayuno en el hotel. Salida hacia las Montañas del Alto Atlas, hacia Col de 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>Tizi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>N’Tichka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, hasta llegar a uno de los puntos importantes del viaje: La 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>Kasbah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de 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>Ait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Ben 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>Haddou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. Declarada; Patrimonio de la Humanidad por la UNESCO, es el 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>ksar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(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>kasbah</w:t>
      </w:r>
      <w:r w:rsidRPr="4592BFCD" w:rsidR="26622A86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-alcazaba) más imponente del sur marroquí. De diferentes tonalidades de rojos, según la hora del día, sus numerosas torres almenadas parecen adosadas a la montaña. Muy bien conservado, ha servido de escenario a numerosas películas. Llegada a Marrakech. Cena y alojamiento en el hotel.  </w:t>
      </w:r>
    </w:p>
    <w:p w:rsidR="5C7ABCF8" w:rsidP="4592BFCD" w:rsidRDefault="5C7ABCF8" w14:paraId="66C2B246" w14:textId="1C3BD095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1D4F4BF0" w:rsidP="4592BFCD" w:rsidRDefault="1D4F4BF0" w14:paraId="39435596" w14:textId="381470F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Día</w:t>
      </w:r>
      <w:r w:rsidRPr="4592BFCD" w:rsidR="1EAAEED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07: Marrakech – visita de la Ciudad</w:t>
      </w:r>
    </w:p>
    <w:p w:rsidR="1EAAEED8" w:rsidP="4592BFCD" w:rsidRDefault="1EAAEED8" w14:paraId="7FB9388E" w14:textId="130213A8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EAAEED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Media pensión en el hotel. Visita de medio día de la ciudad de Marrakech: la visita comienza por los Jardines de la Menara en cuyo centro se encuentra un estanque del Siglo XII. El majestuoso Minarete de la </w:t>
      </w:r>
      <w:r w:rsidRPr="4592BFCD" w:rsidR="1EAAEED8">
        <w:rPr>
          <w:rFonts w:ascii="Calibri" w:hAnsi="Calibri" w:eastAsia="Calibri" w:cs="Calibri"/>
          <w:noProof w:val="0"/>
          <w:sz w:val="24"/>
          <w:szCs w:val="24"/>
          <w:lang w:val="es-ES"/>
        </w:rPr>
        <w:t>Kutubia</w:t>
      </w:r>
      <w:r w:rsidRPr="4592BFCD" w:rsidR="1EAAEED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. Visita del Palacio de la Bahía, de la farmacia bereber y de los zocos. La visita termina en un lugar mágico: la Plaza de </w:t>
      </w:r>
      <w:r w:rsidRPr="4592BFCD" w:rsidR="1EAAEED8">
        <w:rPr>
          <w:rFonts w:ascii="Calibri" w:hAnsi="Calibri" w:eastAsia="Calibri" w:cs="Calibri"/>
          <w:noProof w:val="0"/>
          <w:sz w:val="24"/>
          <w:szCs w:val="24"/>
          <w:lang w:val="es-ES"/>
        </w:rPr>
        <w:t>Yemaa</w:t>
      </w:r>
      <w:r w:rsidRPr="4592BFCD" w:rsidR="1EAAEED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el </w:t>
      </w:r>
      <w:r w:rsidRPr="4592BFCD" w:rsidR="1EAAEED8">
        <w:rPr>
          <w:rFonts w:ascii="Calibri" w:hAnsi="Calibri" w:eastAsia="Calibri" w:cs="Calibri"/>
          <w:noProof w:val="0"/>
          <w:sz w:val="24"/>
          <w:szCs w:val="24"/>
          <w:lang w:val="es-ES"/>
        </w:rPr>
        <w:t>Fna</w:t>
      </w:r>
      <w:r w:rsidRPr="4592BFCD" w:rsidR="1EAAEED8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(Asamblea del Pueblo), declarada; Patrimonio de la Humanidad. Cena y alojamiento.  </w:t>
      </w:r>
    </w:p>
    <w:p w:rsidR="5C7ABCF8" w:rsidP="4592BFCD" w:rsidRDefault="5C7ABCF8" w14:paraId="02527C5B" w14:textId="05E0C56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592BFCD" w:rsidRDefault="3541E824" w14:paraId="461459C7" w14:textId="7805439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4592BFCD" w:rsidR="5E79CA2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4592BFCD" w:rsidR="1D4F4BF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8</w:t>
      </w:r>
      <w:r w:rsidRPr="4592BFCD" w:rsidR="693DA51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Marrakech</w:t>
      </w:r>
    </w:p>
    <w:p w:rsidR="693DA517" w:rsidP="4592BFCD" w:rsidRDefault="693DA517" w14:paraId="226B292E" w14:textId="5A67321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693DA517">
        <w:rPr>
          <w:rFonts w:ascii="Calibri" w:hAnsi="Calibri" w:eastAsia="Calibri" w:cs="Calibri"/>
          <w:noProof w:val="0"/>
          <w:sz w:val="24"/>
          <w:szCs w:val="24"/>
          <w:lang w:val="es-ES"/>
        </w:rPr>
        <w:t>Desayuno en el hotel (si el horario del vuelo lo permite). Traslado al Aeropuerto Internacional de Marrakech o Casablanca.</w:t>
      </w:r>
    </w:p>
    <w:p w:rsidR="3541E824" w:rsidP="4592BFCD" w:rsidRDefault="3541E824" w14:paraId="6CD0554B" w14:textId="4FD2B4F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ES"/>
        </w:rPr>
        <w:t>FIN DE LOS SERVICIO</w:t>
      </w:r>
      <w:r w:rsidRPr="4592BFCD" w:rsidR="469CB953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ES"/>
        </w:rPr>
        <w:t>S</w:t>
      </w:r>
    </w:p>
    <w:p w:rsidR="02844281" w:rsidP="4592BFCD" w:rsidRDefault="02844281" w14:paraId="07E21702" w14:textId="7551C398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  <w:r w:rsidRPr="4592BFCD" w:rsidR="0284428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  <w:t>Incluye:</w:t>
      </w:r>
    </w:p>
    <w:p w:rsidR="3C78B839" w:rsidP="4592BFCD" w:rsidRDefault="3C78B839" w14:paraId="1BDF7A49" w14:textId="0A8F651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01 noche de hotel en Casablanca en régimen de media pensión. </w:t>
      </w:r>
    </w:p>
    <w:p w:rsidR="3C78B839" w:rsidP="4592BFCD" w:rsidRDefault="3C78B839" w14:paraId="60EFA6EE" w14:textId="68BCAB97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02 noches de hotel en Fes en régimen de media pensión. </w:t>
      </w:r>
    </w:p>
    <w:p w:rsidR="3C78B839" w:rsidP="4592BFCD" w:rsidRDefault="3C78B839" w14:paraId="6BAC8F72" w14:textId="3544970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01 noche</w:t>
      </w: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 de hotel en </w:t>
      </w: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Erfoud</w:t>
      </w: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 en régimen de media pensión. </w:t>
      </w:r>
    </w:p>
    <w:p w:rsidR="3C78B839" w:rsidP="4592BFCD" w:rsidRDefault="3C78B839" w14:paraId="5FAA1348" w14:textId="58EDB2F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01 noche de hotel en </w:t>
      </w: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Ouarzazate</w:t>
      </w: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 en régimen de media pensión. </w:t>
      </w:r>
    </w:p>
    <w:p w:rsidR="3C78B839" w:rsidP="4592BFCD" w:rsidRDefault="3C78B839" w14:paraId="74BED79B" w14:textId="5B71F15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02 noches</w:t>
      </w: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 de hotel en Marrakech en régimen de media pensión. </w:t>
      </w:r>
    </w:p>
    <w:p w:rsidR="3C78B839" w:rsidP="4592BFCD" w:rsidRDefault="3C78B839" w14:paraId="1092A2AF" w14:textId="7AB3FD37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Todas las entradas y las visitas a los sitios indicados en el itinerario. </w:t>
      </w:r>
    </w:p>
    <w:p w:rsidR="3C78B839" w:rsidP="4592BFCD" w:rsidRDefault="3C78B839" w14:paraId="27003983" w14:textId="66369A4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Asistencia de habla hispana. </w:t>
      </w:r>
    </w:p>
    <w:p w:rsidR="3C78B839" w:rsidP="4592BFCD" w:rsidRDefault="3C78B839" w14:paraId="0EC1B95A" w14:textId="44DD079B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Salidas con guía acompañante de habla hispana con más de 7 pasajeros. </w:t>
      </w:r>
    </w:p>
    <w:p w:rsidR="3C78B839" w:rsidP="4592BFCD" w:rsidRDefault="3C78B839" w14:paraId="1B58550F" w14:textId="2677A146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Todos los traslados se realizan en vehículos con aire acondicionado y WIFI.</w:t>
      </w:r>
    </w:p>
    <w:p w:rsidR="3C78B839" w:rsidP="4592BFCD" w:rsidRDefault="3C78B839" w14:paraId="73820381" w14:textId="2AC06BFE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Seguro de asistencia en viaje por 10 días con cobertura 150.000 USD (valor/cobertura válida para pasajeros de hasta 84 años).  </w:t>
      </w:r>
    </w:p>
    <w:p w:rsidR="4592BFCD" w:rsidP="4592BFCD" w:rsidRDefault="4592BFCD" w14:paraId="7F8073D4" w14:textId="5D35329E">
      <w:pPr>
        <w:pStyle w:val="ListParagraph"/>
        <w:spacing w:before="0" w:beforeAutospacing="off" w:after="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w:rsidR="3C78B839" w:rsidP="4592BFCD" w:rsidRDefault="3C78B839" w14:paraId="61C26797" w14:textId="58E7D2BE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  <w:t>No incluye:</w:t>
      </w:r>
    </w:p>
    <w:p w:rsidR="3C78B839" w:rsidP="4592BFCD" w:rsidRDefault="3C78B839" w14:paraId="48E3AC25" w14:textId="6526062C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Visados (debe consultar al Consulado o a la Embajada de Marruecos en su país sobre los trámites del visado antes de su llegada). </w:t>
      </w:r>
    </w:p>
    <w:p w:rsidR="3C78B839" w:rsidP="4592BFCD" w:rsidRDefault="3C78B839" w14:paraId="6749BF8D" w14:textId="23A42B87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Propinas maleteros, choferes y guías. </w:t>
      </w:r>
    </w:p>
    <w:p w:rsidR="3C78B839" w:rsidP="4592BFCD" w:rsidRDefault="3C78B839" w14:paraId="17ED0F5E" w14:textId="01C2F618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Cualquier otro servicio extra no mencionado en el paquete de viaje. </w:t>
      </w:r>
    </w:p>
    <w:p w:rsidR="3C78B839" w:rsidP="4592BFCD" w:rsidRDefault="3C78B839" w14:paraId="6D09BED3" w14:textId="6EA1B985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Vuelos internacionales. </w:t>
      </w:r>
    </w:p>
    <w:p w:rsidR="3C78B839" w:rsidP="64668D5A" w:rsidRDefault="3C78B839" w14:paraId="07B0B4C6" w14:textId="2CD17581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64668D5A" w:rsidR="6C16D66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Vis</w:t>
      </w:r>
      <w:r w:rsidRPr="64668D5A" w:rsidR="6C16D663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noProof w:val="0"/>
          <w:color w:val="auto"/>
          <w:sz w:val="24"/>
          <w:szCs w:val="24"/>
          <w:lang w:val="es-ES" w:eastAsia="en-US" w:bidi="ar-SA"/>
        </w:rPr>
        <w:t xml:space="preserve">itas </w:t>
      </w:r>
      <w:r w:rsidRPr="64668D5A" w:rsidR="6C16D663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noProof w:val="0"/>
          <w:color w:val="auto"/>
          <w:sz w:val="24"/>
          <w:szCs w:val="24"/>
          <w:lang w:val="es-ES" w:eastAsia="en-US" w:bidi="ar-SA"/>
        </w:rPr>
        <w:t>opci</w:t>
      </w:r>
      <w:r w:rsidRPr="64668D5A" w:rsidR="6C16D663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noProof w:val="0"/>
          <w:color w:val="auto"/>
          <w:sz w:val="24"/>
          <w:szCs w:val="24"/>
          <w:lang w:val="es-ES" w:eastAsia="en-US" w:bidi="ar-SA"/>
        </w:rPr>
        <w:t xml:space="preserve">onales. </w:t>
      </w:r>
    </w:p>
    <w:p w:rsidR="3C78B839" w:rsidP="4592BFCD" w:rsidRDefault="3C78B839" w14:paraId="342034E9" w14:textId="30E96CDF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Comidas extras y bebidas. </w:t>
      </w:r>
    </w:p>
    <w:p w:rsidR="3C78B839" w:rsidP="4592BFCD" w:rsidRDefault="3C78B839" w14:paraId="7DF7A6E1" w14:textId="1863DB73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C78B83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Gastos y extras personales.</w:t>
      </w:r>
    </w:p>
    <w:p w:rsidR="4592BFCD" w:rsidP="4592BFCD" w:rsidRDefault="4592BFCD" w14:paraId="259773F2" w14:textId="3428A17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w:rsidR="3723D4AF" w:rsidP="4592BFCD" w:rsidRDefault="3723D4AF" w14:paraId="4CAA8B08" w14:textId="0616DD2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  <w:r w:rsidRPr="4592BFCD" w:rsidR="3723D4A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  <w:t>NOTAS IMPORTANTES:</w:t>
      </w:r>
    </w:p>
    <w:p w:rsidR="3723D4AF" w:rsidP="4592BFCD" w:rsidRDefault="3723D4AF" w14:paraId="102729D7" w14:textId="7399D37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723D4A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-SON SALIDAS GARANTIZADAS CON UN MÍNIMO DE DOS PASAJEROS (por ser una sola persona se necesita consultarnos disponibilidad). </w:t>
      </w:r>
    </w:p>
    <w:p w:rsidR="3723D4AF" w:rsidP="4592BFCD" w:rsidRDefault="3723D4AF" w14:paraId="7EE7B2F1" w14:textId="78338C8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723D4A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-Salidas garantizadas con llegada los SÁBADOS a CASABLANCA. </w:t>
      </w:r>
    </w:p>
    <w:p w:rsidR="3723D4AF" w:rsidP="4592BFCD" w:rsidRDefault="3723D4AF" w14:paraId="720DE130" w14:textId="11B9A99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723D4A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-El orden de las visitas se puede variar según las circunstancias del viaje o fuerza mayor. </w:t>
      </w:r>
    </w:p>
    <w:p w:rsidR="3723D4AF" w:rsidP="64668D5A" w:rsidRDefault="3723D4AF" w14:paraId="12688B9E" w14:textId="3152DAB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highlight w:val="yellow"/>
          <w:lang w:val="es-ES"/>
        </w:rPr>
      </w:pPr>
      <w:r w:rsidRPr="64668D5A" w:rsidR="2872B82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highlight w:val="yellow"/>
          <w:lang w:val="es-ES"/>
        </w:rPr>
        <w:t xml:space="preserve">-El traslado desde Marrakech a Casablanca o viceversa </w:t>
      </w:r>
      <w:r w:rsidRPr="64668D5A" w:rsidR="1CB67D1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highlight w:val="yellow"/>
          <w:lang w:val="es-ES"/>
        </w:rPr>
        <w:t>tiene un valor</w:t>
      </w:r>
      <w:r w:rsidRPr="64668D5A" w:rsidR="4B323A4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highlight w:val="yellow"/>
          <w:lang w:val="es-ES"/>
        </w:rPr>
        <w:t xml:space="preserve"> extra</w:t>
      </w:r>
      <w:r w:rsidRPr="64668D5A" w:rsidR="2CC9922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highlight w:val="yellow"/>
          <w:lang w:val="es-ES"/>
        </w:rPr>
        <w:t xml:space="preserve"> </w:t>
      </w:r>
      <w:r w:rsidRPr="64668D5A" w:rsidR="2C1216E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highlight w:val="yellow"/>
          <w:lang w:val="es-ES"/>
        </w:rPr>
        <w:t>por persona por trayecto</w:t>
      </w:r>
      <w:r w:rsidRPr="64668D5A" w:rsidR="745E002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highlight w:val="yellow"/>
          <w:lang w:val="es-ES"/>
        </w:rPr>
        <w:t xml:space="preserve">. </w:t>
      </w:r>
      <w:r w:rsidRPr="64668D5A" w:rsidR="6E781E7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highlight w:val="yellow"/>
          <w:lang w:val="es-ES"/>
        </w:rPr>
        <w:t>Consultar.</w:t>
      </w:r>
    </w:p>
    <w:p w:rsidR="1D09B938" w:rsidP="4592BFCD" w:rsidRDefault="1D09B938" w14:paraId="1E3CBF34" w14:textId="4A4BD1F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1D09B93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-</w:t>
      </w:r>
      <w:r w:rsidRPr="4592BFCD" w:rsidR="3723D4A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Para operar este circuito en privado con transporte y guía exclusivos se suma un suplemento de </w:t>
      </w:r>
      <w:r w:rsidRPr="4592BFCD" w:rsidR="46BDFC4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867</w:t>
      </w:r>
      <w:r w:rsidRPr="4592BFCD" w:rsidR="3723D4A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 USD por persona (suplemento válido para las tres categorías).  </w:t>
      </w:r>
    </w:p>
    <w:p w:rsidR="38CA5149" w:rsidP="4592BFCD" w:rsidRDefault="38CA5149" w14:paraId="77F82873" w14:textId="03FDAB2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38CA514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-</w:t>
      </w:r>
      <w:r w:rsidRPr="4592BFCD" w:rsidR="3723D4A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Para operar este circuito en privado con transporte privado y guías locales se suma un suplemento de </w:t>
      </w:r>
      <w:r w:rsidRPr="4592BFCD" w:rsidR="44505B2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600</w:t>
      </w:r>
      <w:r w:rsidRPr="4592BFCD" w:rsidR="3723D4A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 xml:space="preserve"> USD por persona (suplemento válido para las tres categorías). </w:t>
      </w:r>
    </w:p>
    <w:p w:rsidR="4592BFCD" w:rsidP="4592BFCD" w:rsidRDefault="4592BFCD" w14:paraId="4AC559D3" w14:textId="17454CF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557DB551" w14:textId="46BBC42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2FF8A435" w14:textId="3E3E390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505CAC96" w14:textId="7D8274B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3BCF538B" w14:textId="7A8B40B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458B38C5" w14:textId="0989911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22489351" w14:textId="73EB051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36E7674A" w14:textId="59F88A9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6E776EB3" w14:textId="7E1C4A8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71DA108B" w14:textId="370DB73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60D9A8AF" w14:textId="512728F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1D4DF060" w14:textId="20C5204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3415477E" w14:textId="1C02497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69F4667C" w14:textId="74CD726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71EE7295" w14:textId="55C8B6D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6B11B11E" w14:textId="044A9C9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1A20DB39" w14:textId="422FEA5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</w:p>
    <w:p w:rsidR="7E5E40D1" w:rsidP="64668D5A" w:rsidRDefault="7E5E40D1" w14:paraId="6180A366" w14:textId="582A9BE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  <w:r w:rsidRPr="64668D5A" w:rsidR="7CF87C7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  <w:t>HOTELES PREVISTOS O SIMILARES</w:t>
      </w:r>
    </w:p>
    <w:p w:rsidR="4592BFCD" w:rsidP="4592BFCD" w:rsidRDefault="4592BFCD" w14:paraId="08302E24" w14:textId="4D01F33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1502"/>
        <w:gridCol w:w="3938"/>
        <w:gridCol w:w="1280"/>
      </w:tblGrid>
      <w:tr w:rsidR="4592BFCD" w:rsidTr="4592BFCD" w14:paraId="390852E0">
        <w:trPr>
          <w:trHeight w:val="420"/>
        </w:trPr>
        <w:tc>
          <w:tcPr>
            <w:tcW w:w="1502" w:type="dxa"/>
            <w:shd w:val="clear" w:color="auto" w:fill="FAE2D5" w:themeFill="accent2" w:themeFillTint="33"/>
            <w:tcMar/>
            <w:vAlign w:val="center"/>
          </w:tcPr>
          <w:p w:rsidR="7E5E40D1" w:rsidP="4592BFCD" w:rsidRDefault="7E5E40D1" w14:paraId="7D79948A" w14:textId="455099D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E5E40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3938" w:type="dxa"/>
            <w:shd w:val="clear" w:color="auto" w:fill="FAE2D5" w:themeFill="accent2" w:themeFillTint="33"/>
            <w:tcMar/>
            <w:vAlign w:val="center"/>
          </w:tcPr>
          <w:p w:rsidR="7E5E40D1" w:rsidP="4592BFCD" w:rsidRDefault="7E5E40D1" w14:paraId="3C837880" w14:textId="4C28284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E5E40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Hotel</w:t>
            </w:r>
          </w:p>
        </w:tc>
        <w:tc>
          <w:tcPr>
            <w:tcW w:w="1280" w:type="dxa"/>
            <w:shd w:val="clear" w:color="auto" w:fill="FAE2D5" w:themeFill="accent2" w:themeFillTint="33"/>
            <w:tcMar/>
            <w:vAlign w:val="center"/>
          </w:tcPr>
          <w:p w:rsidR="7E5E40D1" w:rsidP="4592BFCD" w:rsidRDefault="7E5E40D1" w14:paraId="5B66004C" w14:textId="0D18AAB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E5E40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Categoría</w:t>
            </w:r>
          </w:p>
        </w:tc>
      </w:tr>
      <w:tr w:rsidR="4592BFCD" w:rsidTr="4592BFCD" w14:paraId="27266278">
        <w:trPr>
          <w:trHeight w:val="390"/>
        </w:trPr>
        <w:tc>
          <w:tcPr>
            <w:tcW w:w="1502" w:type="dxa"/>
            <w:vMerge w:val="restart"/>
            <w:tcMar/>
            <w:vAlign w:val="center"/>
          </w:tcPr>
          <w:p w:rsidR="7E5E40D1" w:rsidP="4592BFCD" w:rsidRDefault="7E5E40D1" w14:paraId="69BA25D6" w14:textId="40FB51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Casablanca</w:t>
            </w:r>
          </w:p>
        </w:tc>
        <w:tc>
          <w:tcPr>
            <w:tcW w:w="3938" w:type="dxa"/>
            <w:tcMar/>
          </w:tcPr>
          <w:p w:rsidR="7E5E40D1" w:rsidP="4592BFCD" w:rsidRDefault="7E5E40D1" w14:paraId="07022712" w14:textId="7A00DE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Kenzi</w:t>
            </w: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Basma</w:t>
            </w: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o similar 4*  </w:t>
            </w:r>
          </w:p>
        </w:tc>
        <w:tc>
          <w:tcPr>
            <w:tcW w:w="1280" w:type="dxa"/>
            <w:tcMar/>
            <w:vAlign w:val="center"/>
          </w:tcPr>
          <w:p w:rsidR="7E5E40D1" w:rsidP="4592BFCD" w:rsidRDefault="7E5E40D1" w14:paraId="08811FCD" w14:textId="1DFF967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Silver</w:t>
            </w:r>
          </w:p>
        </w:tc>
      </w:tr>
      <w:tr w:rsidR="4592BFCD" w:rsidTr="4592BFCD" w14:paraId="21840780">
        <w:trPr>
          <w:trHeight w:val="300"/>
        </w:trPr>
        <w:tc>
          <w:tcPr>
            <w:tcW w:w="1502" w:type="dxa"/>
            <w:vMerge/>
            <w:tcMar/>
          </w:tcPr>
          <w:p w14:paraId="31C03649"/>
        </w:tc>
        <w:tc>
          <w:tcPr>
            <w:tcW w:w="3938" w:type="dxa"/>
            <w:tcMar/>
          </w:tcPr>
          <w:p w:rsidR="7E5E40D1" w:rsidP="4592BFCD" w:rsidRDefault="7E5E40D1" w14:paraId="554EC9CC" w14:textId="73004A1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Mövenpick</w:t>
            </w: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o similar 5*</w:t>
            </w:r>
          </w:p>
        </w:tc>
        <w:tc>
          <w:tcPr>
            <w:tcW w:w="1280" w:type="dxa"/>
            <w:tcMar/>
            <w:vAlign w:val="center"/>
          </w:tcPr>
          <w:p w:rsidR="596CB00C" w:rsidP="4592BFCD" w:rsidRDefault="596CB00C" w14:paraId="33EBE0A5" w14:textId="68FA93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596CB0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Gold</w:t>
            </w:r>
          </w:p>
        </w:tc>
      </w:tr>
      <w:tr w:rsidR="4592BFCD" w:rsidTr="4592BFCD" w14:paraId="2864EF5E">
        <w:trPr>
          <w:trHeight w:val="300"/>
        </w:trPr>
        <w:tc>
          <w:tcPr>
            <w:tcW w:w="1502" w:type="dxa"/>
            <w:vMerge/>
            <w:tcMar/>
          </w:tcPr>
          <w:p w14:paraId="0E469D13"/>
        </w:tc>
        <w:tc>
          <w:tcPr>
            <w:tcW w:w="3938" w:type="dxa"/>
            <w:tcMar/>
          </w:tcPr>
          <w:p w:rsidR="7E5E40D1" w:rsidP="4592BFCD" w:rsidRDefault="7E5E40D1" w14:paraId="1FC606E6" w14:textId="1EE98AA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DoubleTree by Hilton City Center o similar 5*</w:t>
            </w: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Lujo</w:t>
            </w:r>
            <w:r w:rsidRPr="4592BFCD" w:rsidR="7E5E4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80" w:type="dxa"/>
            <w:tcMar/>
            <w:vAlign w:val="center"/>
          </w:tcPr>
          <w:p w:rsidR="2CB18440" w:rsidP="4592BFCD" w:rsidRDefault="2CB18440" w14:paraId="07491354" w14:textId="20BFAEC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2CB184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Platinum</w:t>
            </w:r>
          </w:p>
        </w:tc>
      </w:tr>
      <w:tr w:rsidR="4592BFCD" w:rsidTr="4592BFCD" w14:paraId="7BBF36E4">
        <w:trPr>
          <w:trHeight w:val="300"/>
        </w:trPr>
        <w:tc>
          <w:tcPr>
            <w:tcW w:w="1502" w:type="dxa"/>
            <w:vMerge w:val="restart"/>
            <w:tcMar/>
            <w:vAlign w:val="center"/>
          </w:tcPr>
          <w:p w:rsidR="42615F57" w:rsidP="4592BFCD" w:rsidRDefault="42615F57" w14:paraId="6D5F26FC" w14:textId="302984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42615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Fes</w:t>
            </w:r>
          </w:p>
        </w:tc>
        <w:tc>
          <w:tcPr>
            <w:tcW w:w="3938" w:type="dxa"/>
            <w:tcMar/>
          </w:tcPr>
          <w:p w:rsidR="42615F57" w:rsidP="4592BFCD" w:rsidRDefault="42615F57" w14:paraId="1A8170D9" w14:textId="6ECE48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42615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Volubilis</w:t>
            </w:r>
            <w:r w:rsidRPr="4592BFCD" w:rsidR="42615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o similar 4*  </w:t>
            </w:r>
          </w:p>
        </w:tc>
        <w:tc>
          <w:tcPr>
            <w:tcW w:w="1280" w:type="dxa"/>
            <w:tcMar/>
          </w:tcPr>
          <w:p w:rsidR="706C8CC3" w:rsidP="4592BFCD" w:rsidRDefault="706C8CC3" w14:paraId="1A6170E6" w14:textId="4D1D056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06C8C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Silver</w:t>
            </w:r>
          </w:p>
        </w:tc>
      </w:tr>
      <w:tr w:rsidR="4592BFCD" w:rsidTr="4592BFCD" w14:paraId="43E15720">
        <w:trPr>
          <w:trHeight w:val="300"/>
        </w:trPr>
        <w:tc>
          <w:tcPr>
            <w:tcW w:w="1502" w:type="dxa"/>
            <w:vMerge/>
            <w:tcMar/>
          </w:tcPr>
          <w:p w14:paraId="66817811"/>
        </w:tc>
        <w:tc>
          <w:tcPr>
            <w:tcW w:w="3938" w:type="dxa"/>
            <w:tcMar/>
          </w:tcPr>
          <w:p w:rsidR="42615F57" w:rsidP="4592BFCD" w:rsidRDefault="42615F57" w14:paraId="5ED4A73F" w14:textId="359D2D1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42615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Barceló o similar 5*  </w:t>
            </w:r>
          </w:p>
        </w:tc>
        <w:tc>
          <w:tcPr>
            <w:tcW w:w="1280" w:type="dxa"/>
            <w:tcMar/>
          </w:tcPr>
          <w:p w:rsidR="709C9D4E" w:rsidP="4592BFCD" w:rsidRDefault="709C9D4E" w14:paraId="3E02ACD8" w14:textId="6EBDD59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09C9D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Gold</w:t>
            </w:r>
          </w:p>
        </w:tc>
      </w:tr>
      <w:tr w:rsidR="4592BFCD" w:rsidTr="4592BFCD" w14:paraId="71DA8A07">
        <w:trPr>
          <w:trHeight w:val="300"/>
        </w:trPr>
        <w:tc>
          <w:tcPr>
            <w:tcW w:w="1502" w:type="dxa"/>
            <w:vMerge/>
            <w:tcMar/>
          </w:tcPr>
          <w:p w14:paraId="08C1A05E"/>
        </w:tc>
        <w:tc>
          <w:tcPr>
            <w:tcW w:w="3938" w:type="dxa"/>
            <w:tcMar/>
          </w:tcPr>
          <w:p w:rsidR="42615F57" w:rsidP="4592BFCD" w:rsidRDefault="42615F57" w14:paraId="371FBF45" w14:textId="086EB4BD">
            <w:pPr>
              <w:widowControl w:val="0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4592BFCD" w:rsidR="42615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s-ES"/>
              </w:rPr>
              <w:t xml:space="preserve">Les </w:t>
            </w:r>
            <w:r w:rsidRPr="4592BFCD" w:rsidR="42615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s-ES"/>
              </w:rPr>
              <w:t>Mérinides</w:t>
            </w:r>
            <w:r w:rsidRPr="4592BFCD" w:rsidR="42615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s-ES"/>
              </w:rPr>
              <w:t xml:space="preserve"> o similar 5*Lujo</w:t>
            </w:r>
          </w:p>
        </w:tc>
        <w:tc>
          <w:tcPr>
            <w:tcW w:w="1280" w:type="dxa"/>
            <w:tcMar/>
          </w:tcPr>
          <w:p w:rsidR="7A0D6885" w:rsidP="4592BFCD" w:rsidRDefault="7A0D6885" w14:paraId="4AA0C72D" w14:textId="2564D6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A0D68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Platinum</w:t>
            </w:r>
          </w:p>
        </w:tc>
      </w:tr>
      <w:tr w:rsidR="4592BFCD" w:rsidTr="4592BFCD" w14:paraId="12520655">
        <w:trPr>
          <w:trHeight w:val="330"/>
        </w:trPr>
        <w:tc>
          <w:tcPr>
            <w:tcW w:w="1502" w:type="dxa"/>
            <w:vMerge w:val="restart"/>
            <w:tcMar/>
            <w:vAlign w:val="center"/>
          </w:tcPr>
          <w:p w:rsidR="417B4F54" w:rsidP="4592BFCD" w:rsidRDefault="417B4F54" w14:paraId="609F1B47" w14:textId="07BA4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417B4F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Erfoud</w:t>
            </w:r>
            <w:r w:rsidRPr="4592BFCD" w:rsidR="417B4F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3938" w:type="dxa"/>
            <w:tcMar/>
          </w:tcPr>
          <w:p w:rsidR="417B4F54" w:rsidP="4592BFCD" w:rsidRDefault="417B4F54" w14:paraId="75634D61" w14:textId="03AAABC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417B4F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Belere</w:t>
            </w:r>
            <w:r w:rsidRPr="4592BFCD" w:rsidR="417B4F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o similar 4*  </w:t>
            </w:r>
          </w:p>
        </w:tc>
        <w:tc>
          <w:tcPr>
            <w:tcW w:w="1280" w:type="dxa"/>
            <w:tcMar/>
          </w:tcPr>
          <w:p w:rsidR="3F8EC3B2" w:rsidP="4592BFCD" w:rsidRDefault="3F8EC3B2" w14:paraId="5A4E9839" w14:textId="005A334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3F8EC3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Silver</w:t>
            </w:r>
          </w:p>
        </w:tc>
      </w:tr>
      <w:tr w:rsidR="4592BFCD" w:rsidTr="4592BFCD" w14:paraId="23D89A1D">
        <w:trPr>
          <w:trHeight w:val="300"/>
        </w:trPr>
        <w:tc>
          <w:tcPr>
            <w:tcW w:w="1502" w:type="dxa"/>
            <w:vMerge/>
            <w:tcMar/>
          </w:tcPr>
          <w:p w14:paraId="47C5D1A7"/>
        </w:tc>
        <w:tc>
          <w:tcPr>
            <w:tcW w:w="3938" w:type="dxa"/>
            <w:vMerge w:val="restart"/>
            <w:tcMar/>
            <w:vAlign w:val="center"/>
          </w:tcPr>
          <w:p w:rsidR="403B2A9B" w:rsidP="4592BFCD" w:rsidRDefault="403B2A9B" w14:paraId="27C16647" w14:textId="5B29447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403B2A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Xaluca</w:t>
            </w:r>
            <w:r w:rsidRPr="4592BFCD" w:rsidR="403B2A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o similar 5* y 5*Lujo  </w:t>
            </w:r>
          </w:p>
        </w:tc>
        <w:tc>
          <w:tcPr>
            <w:tcW w:w="1280" w:type="dxa"/>
            <w:tcMar/>
          </w:tcPr>
          <w:p w:rsidR="303E1ACD" w:rsidP="4592BFCD" w:rsidRDefault="303E1ACD" w14:paraId="14A39522" w14:textId="57B2B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303E1A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Gold</w:t>
            </w:r>
          </w:p>
        </w:tc>
      </w:tr>
      <w:tr w:rsidR="4592BFCD" w:rsidTr="4592BFCD" w14:paraId="3CAFA58D">
        <w:trPr>
          <w:trHeight w:val="300"/>
        </w:trPr>
        <w:tc>
          <w:tcPr>
            <w:tcW w:w="1502" w:type="dxa"/>
            <w:vMerge/>
            <w:tcMar/>
            <w:vAlign w:val="center"/>
          </w:tcPr>
          <w:p w14:paraId="7CB043CF"/>
        </w:tc>
        <w:tc>
          <w:tcPr>
            <w:tcW w:w="3938" w:type="dxa"/>
            <w:vMerge/>
            <w:tcMar/>
            <w:vAlign w:val="center"/>
          </w:tcPr>
          <w:p w14:paraId="53DC857D"/>
        </w:tc>
        <w:tc>
          <w:tcPr>
            <w:tcW w:w="1280" w:type="dxa"/>
            <w:tcMar/>
          </w:tcPr>
          <w:p w:rsidR="7F876C5F" w:rsidP="4592BFCD" w:rsidRDefault="7F876C5F" w14:paraId="048202DC" w14:textId="38F4BFF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Platinum</w:t>
            </w:r>
          </w:p>
        </w:tc>
      </w:tr>
      <w:tr w:rsidR="4592BFCD" w:rsidTr="4592BFCD" w14:paraId="60A72FFF">
        <w:trPr>
          <w:trHeight w:val="300"/>
        </w:trPr>
        <w:tc>
          <w:tcPr>
            <w:tcW w:w="1502" w:type="dxa"/>
            <w:vMerge w:val="restart"/>
            <w:tcMar/>
            <w:vAlign w:val="center"/>
          </w:tcPr>
          <w:p w:rsidR="7F876C5F" w:rsidP="4592BFCD" w:rsidRDefault="7F876C5F" w14:paraId="04DDFBA5" w14:textId="279C43A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Ouarzazate</w:t>
            </w:r>
          </w:p>
        </w:tc>
        <w:tc>
          <w:tcPr>
            <w:tcW w:w="3938" w:type="dxa"/>
            <w:tcMar/>
            <w:vAlign w:val="center"/>
          </w:tcPr>
          <w:p w:rsidR="7F876C5F" w:rsidP="4592BFCD" w:rsidRDefault="7F876C5F" w14:paraId="24889239" w14:textId="357E81D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Karam Palace o similar 4*</w:t>
            </w:r>
          </w:p>
        </w:tc>
        <w:tc>
          <w:tcPr>
            <w:tcW w:w="1280" w:type="dxa"/>
            <w:tcMar/>
          </w:tcPr>
          <w:p w:rsidR="7F876C5F" w:rsidP="4592BFCD" w:rsidRDefault="7F876C5F" w14:paraId="6863361A" w14:textId="64548E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Silver</w:t>
            </w:r>
          </w:p>
        </w:tc>
      </w:tr>
      <w:tr w:rsidR="4592BFCD" w:rsidTr="4592BFCD" w14:paraId="09867537">
        <w:trPr>
          <w:trHeight w:val="300"/>
        </w:trPr>
        <w:tc>
          <w:tcPr>
            <w:tcW w:w="1502" w:type="dxa"/>
            <w:vMerge/>
            <w:tcMar/>
            <w:vAlign w:val="center"/>
          </w:tcPr>
          <w:p w14:paraId="49D32AA4"/>
        </w:tc>
        <w:tc>
          <w:tcPr>
            <w:tcW w:w="3938" w:type="dxa"/>
            <w:tcMar/>
            <w:vAlign w:val="center"/>
          </w:tcPr>
          <w:p w:rsidR="7F876C5F" w:rsidP="4592BFCD" w:rsidRDefault="7F876C5F" w14:paraId="07F81CFF" w14:textId="15416BF3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Club Hanane o similar 5*  </w:t>
            </w:r>
          </w:p>
        </w:tc>
        <w:tc>
          <w:tcPr>
            <w:tcW w:w="1280" w:type="dxa"/>
            <w:tcMar/>
          </w:tcPr>
          <w:p w:rsidR="7F876C5F" w:rsidP="4592BFCD" w:rsidRDefault="7F876C5F" w14:paraId="42262224" w14:textId="2A5F731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Gold</w:t>
            </w:r>
          </w:p>
        </w:tc>
      </w:tr>
      <w:tr w:rsidR="4592BFCD" w:rsidTr="4592BFCD" w14:paraId="765F89E3">
        <w:trPr>
          <w:trHeight w:val="300"/>
        </w:trPr>
        <w:tc>
          <w:tcPr>
            <w:tcW w:w="1502" w:type="dxa"/>
            <w:vMerge/>
            <w:tcMar/>
            <w:vAlign w:val="center"/>
          </w:tcPr>
          <w:p w14:paraId="54315459"/>
        </w:tc>
        <w:tc>
          <w:tcPr>
            <w:tcW w:w="3938" w:type="dxa"/>
            <w:tcMar/>
            <w:vAlign w:val="center"/>
          </w:tcPr>
          <w:p w:rsidR="7F876C5F" w:rsidP="4592BFCD" w:rsidRDefault="7F876C5F" w14:paraId="6F38BBA3" w14:textId="73F6622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Le Temple Des Arts o similar 5*Lujo</w:t>
            </w:r>
          </w:p>
        </w:tc>
        <w:tc>
          <w:tcPr>
            <w:tcW w:w="1280" w:type="dxa"/>
            <w:tcMar/>
          </w:tcPr>
          <w:p w:rsidR="7F876C5F" w:rsidP="4592BFCD" w:rsidRDefault="7F876C5F" w14:paraId="20D30F4E" w14:textId="5F89688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Platinum</w:t>
            </w:r>
          </w:p>
        </w:tc>
      </w:tr>
      <w:tr w:rsidR="4592BFCD" w:rsidTr="4592BFCD" w14:paraId="0F364DA7">
        <w:trPr>
          <w:trHeight w:val="300"/>
        </w:trPr>
        <w:tc>
          <w:tcPr>
            <w:tcW w:w="1502" w:type="dxa"/>
            <w:vMerge w:val="restart"/>
            <w:tcMar/>
            <w:vAlign w:val="center"/>
          </w:tcPr>
          <w:p w:rsidR="7F876C5F" w:rsidP="4592BFCD" w:rsidRDefault="7F876C5F" w14:paraId="4919F570" w14:textId="3A8AA6C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Marrakech</w:t>
            </w:r>
          </w:p>
        </w:tc>
        <w:tc>
          <w:tcPr>
            <w:tcW w:w="3938" w:type="dxa"/>
            <w:tcMar/>
            <w:vAlign w:val="center"/>
          </w:tcPr>
          <w:p w:rsidR="7F876C5F" w:rsidP="4592BFCD" w:rsidRDefault="7F876C5F" w14:paraId="3FB09C4B" w14:textId="0E73839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Kech Boutique o similar 4*  </w:t>
            </w:r>
          </w:p>
        </w:tc>
        <w:tc>
          <w:tcPr>
            <w:tcW w:w="1280" w:type="dxa"/>
            <w:tcMar/>
          </w:tcPr>
          <w:p w:rsidR="7F876C5F" w:rsidP="4592BFCD" w:rsidRDefault="7F876C5F" w14:paraId="4D8349BA" w14:textId="26A087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Silver</w:t>
            </w:r>
          </w:p>
        </w:tc>
      </w:tr>
      <w:tr w:rsidR="4592BFCD" w:rsidTr="4592BFCD" w14:paraId="3159A4A6">
        <w:trPr>
          <w:trHeight w:val="300"/>
        </w:trPr>
        <w:tc>
          <w:tcPr>
            <w:tcW w:w="1502" w:type="dxa"/>
            <w:vMerge/>
            <w:tcMar/>
            <w:vAlign w:val="center"/>
          </w:tcPr>
          <w:p w14:paraId="21837AC7"/>
        </w:tc>
        <w:tc>
          <w:tcPr>
            <w:tcW w:w="3938" w:type="dxa"/>
            <w:tcMar/>
            <w:vAlign w:val="center"/>
          </w:tcPr>
          <w:p w:rsidR="7F876C5F" w:rsidP="4592BFCD" w:rsidRDefault="7F876C5F" w14:paraId="14D73449" w14:textId="02DEBF5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Palm Plaza o similar 5*</w:t>
            </w:r>
          </w:p>
        </w:tc>
        <w:tc>
          <w:tcPr>
            <w:tcW w:w="1280" w:type="dxa"/>
            <w:tcMar/>
          </w:tcPr>
          <w:p w:rsidR="7F876C5F" w:rsidP="4592BFCD" w:rsidRDefault="7F876C5F" w14:paraId="620DED89" w14:textId="3431400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Gold</w:t>
            </w:r>
          </w:p>
        </w:tc>
      </w:tr>
      <w:tr w:rsidR="4592BFCD" w:rsidTr="4592BFCD" w14:paraId="2E1DB31D">
        <w:trPr>
          <w:trHeight w:val="300"/>
        </w:trPr>
        <w:tc>
          <w:tcPr>
            <w:tcW w:w="1502" w:type="dxa"/>
            <w:vMerge/>
            <w:tcMar/>
            <w:vAlign w:val="center"/>
          </w:tcPr>
          <w:p w14:paraId="7ED70E20"/>
        </w:tc>
        <w:tc>
          <w:tcPr>
            <w:tcW w:w="3938" w:type="dxa"/>
            <w:tcMar/>
            <w:vAlign w:val="center"/>
          </w:tcPr>
          <w:p w:rsidR="7F876C5F" w:rsidP="4592BFCD" w:rsidRDefault="7F876C5F" w14:paraId="13C4A7C0" w14:textId="38CFE78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Kenzi</w:t>
            </w: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Menara Palace o similar 5*Lujo</w:t>
            </w:r>
          </w:p>
        </w:tc>
        <w:tc>
          <w:tcPr>
            <w:tcW w:w="1280" w:type="dxa"/>
            <w:tcMar/>
          </w:tcPr>
          <w:p w:rsidR="7F876C5F" w:rsidP="4592BFCD" w:rsidRDefault="7F876C5F" w14:paraId="596E34F3" w14:textId="6653255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4592BFCD" w:rsidR="7F876C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Platinum</w:t>
            </w:r>
          </w:p>
        </w:tc>
      </w:tr>
    </w:tbl>
    <w:p w:rsidR="4592BFCD" w:rsidP="4592BFCD" w:rsidRDefault="4592BFCD" w14:paraId="19B821EE" w14:textId="7F0585D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s-ES"/>
        </w:rPr>
      </w:pPr>
    </w:p>
    <w:p w:rsidR="4592BFCD" w:rsidP="4592BFCD" w:rsidRDefault="4592BFCD" w14:paraId="11BF0A06" w14:textId="2EF1B38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s-ES"/>
        </w:rPr>
      </w:pPr>
    </w:p>
    <w:p w:rsidR="7E5E40D1" w:rsidP="4592BFCD" w:rsidRDefault="7E5E40D1" w14:paraId="471E60C1" w14:textId="02A573A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</w:pPr>
      <w:r w:rsidRPr="4592BFCD" w:rsidR="7E5E40D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s-ES"/>
        </w:rPr>
        <w:t>VALOR POR PERSONA EN USD</w:t>
      </w:r>
    </w:p>
    <w:p w:rsidR="4592BFCD" w:rsidP="4592BFCD" w:rsidRDefault="4592BFCD" w14:paraId="128B9748" w14:textId="1512BFE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s-ES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2715"/>
        <w:gridCol w:w="1090"/>
        <w:gridCol w:w="747"/>
        <w:gridCol w:w="1057"/>
        <w:gridCol w:w="743"/>
        <w:gridCol w:w="1110"/>
        <w:gridCol w:w="780"/>
      </w:tblGrid>
      <w:tr w:rsidR="4592BFCD" w:rsidTr="4592BFCD" w14:paraId="45691410">
        <w:trPr>
          <w:trHeight w:val="300"/>
        </w:trPr>
        <w:tc>
          <w:tcPr>
            <w:tcW w:w="2715" w:type="dxa"/>
            <w:vMerge w:val="restart"/>
            <w:shd w:val="clear" w:color="auto" w:fill="FAE2D5" w:themeFill="accent2" w:themeFillTint="33"/>
            <w:tcMar/>
            <w:vAlign w:val="center"/>
          </w:tcPr>
          <w:p w:rsidR="6D76526B" w:rsidP="4592BFCD" w:rsidRDefault="6D76526B" w14:paraId="67C14D6C" w14:textId="4DA4981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6D7652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Fechas (inicio tour sábados)</w:t>
            </w:r>
          </w:p>
        </w:tc>
        <w:tc>
          <w:tcPr>
            <w:tcW w:w="1837" w:type="dxa"/>
            <w:gridSpan w:val="2"/>
            <w:shd w:val="clear" w:color="auto" w:fill="FAE2D5" w:themeFill="accent2" w:themeFillTint="33"/>
            <w:tcMar/>
            <w:vAlign w:val="center"/>
          </w:tcPr>
          <w:p w:rsidR="6D76526B" w:rsidP="4592BFCD" w:rsidRDefault="6D76526B" w14:paraId="5D2BBE93" w14:textId="4EEA0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6D7652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SILVER</w:t>
            </w:r>
          </w:p>
        </w:tc>
        <w:tc>
          <w:tcPr>
            <w:tcW w:w="1800" w:type="dxa"/>
            <w:gridSpan w:val="2"/>
            <w:shd w:val="clear" w:color="auto" w:fill="FAE2D5" w:themeFill="accent2" w:themeFillTint="33"/>
            <w:tcMar/>
            <w:vAlign w:val="center"/>
          </w:tcPr>
          <w:p w:rsidR="6D76526B" w:rsidP="4592BFCD" w:rsidRDefault="6D76526B" w14:paraId="1DE756B3" w14:textId="79BE2F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6D7652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GOLD</w:t>
            </w:r>
          </w:p>
        </w:tc>
        <w:tc>
          <w:tcPr>
            <w:tcW w:w="1890" w:type="dxa"/>
            <w:gridSpan w:val="2"/>
            <w:shd w:val="clear" w:color="auto" w:fill="FAE2D5" w:themeFill="accent2" w:themeFillTint="33"/>
            <w:tcMar/>
            <w:vAlign w:val="center"/>
          </w:tcPr>
          <w:p w:rsidR="6D76526B" w:rsidP="4592BFCD" w:rsidRDefault="6D76526B" w14:paraId="55D0AF61" w14:textId="7856447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6D76526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PLATINUM</w:t>
            </w:r>
          </w:p>
        </w:tc>
      </w:tr>
      <w:tr w:rsidR="4592BFCD" w:rsidTr="4592BFCD" w14:paraId="233D1F3A">
        <w:trPr>
          <w:trHeight w:val="362"/>
        </w:trPr>
        <w:tc>
          <w:tcPr>
            <w:tcW w:w="2715" w:type="dxa"/>
            <w:vMerge/>
            <w:tcMar/>
          </w:tcPr>
          <w:p w14:paraId="48E73A25"/>
        </w:tc>
        <w:tc>
          <w:tcPr>
            <w:tcW w:w="1090" w:type="dxa"/>
            <w:shd w:val="clear" w:color="auto" w:fill="F6C5AC" w:themeFill="accent2" w:themeFillTint="66"/>
            <w:tcMar/>
            <w:vAlign w:val="center"/>
          </w:tcPr>
          <w:p w:rsidR="2C9B483B" w:rsidP="4592BFCD" w:rsidRDefault="2C9B483B" w14:paraId="4BE74DD1" w14:textId="1FBAE07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C9B48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DBL/TPL</w:t>
            </w:r>
          </w:p>
        </w:tc>
        <w:tc>
          <w:tcPr>
            <w:tcW w:w="747" w:type="dxa"/>
            <w:shd w:val="clear" w:color="auto" w:fill="F6C5AC" w:themeFill="accent2" w:themeFillTint="66"/>
            <w:tcMar/>
            <w:vAlign w:val="center"/>
          </w:tcPr>
          <w:p w:rsidR="2C9B483B" w:rsidP="4592BFCD" w:rsidRDefault="2C9B483B" w14:paraId="69499FA5" w14:textId="683D21F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C9B48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SGL</w:t>
            </w:r>
          </w:p>
        </w:tc>
        <w:tc>
          <w:tcPr>
            <w:tcW w:w="1057" w:type="dxa"/>
            <w:shd w:val="clear" w:color="auto" w:fill="F6C5AC" w:themeFill="accent2" w:themeFillTint="66"/>
            <w:tcMar/>
            <w:vAlign w:val="center"/>
          </w:tcPr>
          <w:p w:rsidR="2C9B483B" w:rsidP="4592BFCD" w:rsidRDefault="2C9B483B" w14:paraId="49D67A39" w14:textId="514BCF5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C9B48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DBL/TPL</w:t>
            </w:r>
          </w:p>
        </w:tc>
        <w:tc>
          <w:tcPr>
            <w:tcW w:w="743" w:type="dxa"/>
            <w:shd w:val="clear" w:color="auto" w:fill="F6C5AC" w:themeFill="accent2" w:themeFillTint="66"/>
            <w:tcMar/>
            <w:vAlign w:val="center"/>
          </w:tcPr>
          <w:p w:rsidR="2C9B483B" w:rsidP="4592BFCD" w:rsidRDefault="2C9B483B" w14:paraId="1A9931E6" w14:textId="2A0854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C9B48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SGL</w:t>
            </w:r>
          </w:p>
        </w:tc>
        <w:tc>
          <w:tcPr>
            <w:tcW w:w="1110" w:type="dxa"/>
            <w:shd w:val="clear" w:color="auto" w:fill="F6C5AC" w:themeFill="accent2" w:themeFillTint="66"/>
            <w:tcMar/>
            <w:vAlign w:val="center"/>
          </w:tcPr>
          <w:p w:rsidR="2C9B483B" w:rsidP="4592BFCD" w:rsidRDefault="2C9B483B" w14:paraId="67EE7F2B" w14:textId="2769B07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C9B48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DBL/TPL</w:t>
            </w:r>
          </w:p>
        </w:tc>
        <w:tc>
          <w:tcPr>
            <w:tcW w:w="780" w:type="dxa"/>
            <w:shd w:val="clear" w:color="auto" w:fill="F6C5AC" w:themeFill="accent2" w:themeFillTint="66"/>
            <w:tcMar/>
            <w:vAlign w:val="center"/>
          </w:tcPr>
          <w:p w:rsidR="2C9B483B" w:rsidP="4592BFCD" w:rsidRDefault="2C9B483B" w14:paraId="728F32E2" w14:textId="0C4CB89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C9B483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SGL</w:t>
            </w:r>
          </w:p>
        </w:tc>
      </w:tr>
      <w:tr w:rsidR="4592BFCD" w:rsidTr="4592BFCD" w14:paraId="643C7381">
        <w:trPr>
          <w:trHeight w:val="300"/>
        </w:trPr>
        <w:tc>
          <w:tcPr>
            <w:tcW w:w="2715" w:type="dxa"/>
            <w:tcMar/>
          </w:tcPr>
          <w:p w:rsidR="6423308B" w:rsidP="4592BFCD" w:rsidRDefault="6423308B" w14:paraId="0E2701FC" w14:textId="2FDE8DE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642330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Temp</w:t>
            </w:r>
            <w:r w:rsidRPr="4592BFCD" w:rsidR="642330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. media: </w:t>
            </w:r>
            <w:r w:rsidRPr="4592BFCD" w:rsidR="64233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 </w:t>
            </w:r>
          </w:p>
          <w:p w:rsidR="41C43643" w:rsidP="4592BFCD" w:rsidRDefault="41C43643" w14:paraId="6283C883" w14:textId="726B2EE5">
            <w:pPr>
              <w:pStyle w:val="Normal"/>
            </w:pPr>
            <w:r w:rsidRPr="4592BFCD" w:rsidR="41C436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-</w:t>
            </w:r>
            <w:r w:rsidRPr="4592BFCD" w:rsidR="64233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01 de marzo 2025 al 20 de diciembre 2025 </w:t>
            </w:r>
          </w:p>
          <w:p w:rsidR="71B756C8" w:rsidP="4592BFCD" w:rsidRDefault="71B756C8" w14:paraId="30A46145" w14:textId="75AB59B8">
            <w:pPr>
              <w:pStyle w:val="Normal"/>
            </w:pPr>
            <w:r w:rsidRPr="4592BFCD" w:rsidR="71B756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-</w:t>
            </w:r>
            <w:r w:rsidRPr="4592BFCD" w:rsidR="64233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06 de </w:t>
            </w:r>
            <w:r w:rsidRPr="4592BFCD" w:rsidR="215885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e</w:t>
            </w:r>
            <w:r w:rsidRPr="4592BFCD" w:rsidR="64233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nero al 23 de </w:t>
            </w:r>
            <w:r w:rsidRPr="4592BFCD" w:rsidR="766941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f</w:t>
            </w:r>
            <w:r w:rsidRPr="4592BFCD" w:rsidR="64233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ebrero</w:t>
            </w:r>
            <w:r w:rsidRPr="4592BFCD" w:rsidR="59B553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4592BFCD" w:rsidR="64233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2026</w:t>
            </w:r>
          </w:p>
        </w:tc>
        <w:tc>
          <w:tcPr>
            <w:tcW w:w="1090" w:type="dxa"/>
            <w:tcMar/>
            <w:vAlign w:val="center"/>
          </w:tcPr>
          <w:p w:rsidR="27A59034" w:rsidP="4592BFCD" w:rsidRDefault="27A59034" w14:paraId="74957727" w14:textId="0FAFA14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7A590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1128</w:t>
            </w:r>
          </w:p>
        </w:tc>
        <w:tc>
          <w:tcPr>
            <w:tcW w:w="747" w:type="dxa"/>
            <w:tcMar/>
            <w:vAlign w:val="center"/>
          </w:tcPr>
          <w:p w:rsidR="2713572D" w:rsidP="4592BFCD" w:rsidRDefault="2713572D" w14:paraId="4B25FC1E" w14:textId="27E09AC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71357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1428</w:t>
            </w:r>
          </w:p>
        </w:tc>
        <w:tc>
          <w:tcPr>
            <w:tcW w:w="1057" w:type="dxa"/>
            <w:tcMar/>
            <w:vAlign w:val="center"/>
          </w:tcPr>
          <w:p w:rsidR="27B480F1" w:rsidP="4592BFCD" w:rsidRDefault="27B480F1" w14:paraId="546095D7" w14:textId="3A540E5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7B480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1401</w:t>
            </w:r>
          </w:p>
        </w:tc>
        <w:tc>
          <w:tcPr>
            <w:tcW w:w="743" w:type="dxa"/>
            <w:tcMar/>
            <w:vAlign w:val="center"/>
          </w:tcPr>
          <w:p w:rsidR="2798B6B3" w:rsidP="4592BFCD" w:rsidRDefault="2798B6B3" w14:paraId="17962212" w14:textId="79C8B0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798B6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1801</w:t>
            </w:r>
          </w:p>
        </w:tc>
        <w:tc>
          <w:tcPr>
            <w:tcW w:w="1110" w:type="dxa"/>
            <w:tcMar/>
            <w:vAlign w:val="center"/>
          </w:tcPr>
          <w:p w:rsidR="63E1F7F8" w:rsidP="4592BFCD" w:rsidRDefault="63E1F7F8" w14:paraId="4E6A991B" w14:textId="4DEF469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63E1F7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1908</w:t>
            </w:r>
          </w:p>
        </w:tc>
        <w:tc>
          <w:tcPr>
            <w:tcW w:w="780" w:type="dxa"/>
            <w:tcMar/>
            <w:vAlign w:val="center"/>
          </w:tcPr>
          <w:p w:rsidR="4428B1E6" w:rsidP="4592BFCD" w:rsidRDefault="4428B1E6" w14:paraId="741A965B" w14:textId="52AD8EB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4428B1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2468</w:t>
            </w:r>
          </w:p>
        </w:tc>
      </w:tr>
      <w:tr w:rsidR="4592BFCD" w:rsidTr="4592BFCD" w14:paraId="0E154A5F">
        <w:trPr>
          <w:trHeight w:val="300"/>
        </w:trPr>
        <w:tc>
          <w:tcPr>
            <w:tcW w:w="2715" w:type="dxa"/>
            <w:tcMar/>
          </w:tcPr>
          <w:p w:rsidR="00055C30" w:rsidP="4592BFCD" w:rsidRDefault="00055C30" w14:paraId="70662B73" w14:textId="5694219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00055C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>Temp</w:t>
            </w:r>
            <w:r w:rsidRPr="4592BFCD" w:rsidR="00055C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. alta: </w:t>
            </w:r>
          </w:p>
          <w:p w:rsidR="5697BA19" w:rsidP="4592BFCD" w:rsidRDefault="5697BA19" w14:paraId="25D31145" w14:textId="211E3486">
            <w:pPr>
              <w:pStyle w:val="Normal"/>
            </w:pPr>
            <w:r w:rsidRPr="4592BFCD" w:rsidR="5697BA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-</w:t>
            </w:r>
            <w:r w:rsidRPr="4592BFCD" w:rsidR="00055C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21 de </w:t>
            </w:r>
            <w:r w:rsidRPr="4592BFCD" w:rsidR="762EC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d</w:t>
            </w:r>
            <w:r w:rsidRPr="4592BFCD" w:rsidR="00055C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iciembre</w:t>
            </w:r>
            <w:r w:rsidRPr="4592BFCD" w:rsidR="37353D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4592BFCD" w:rsidR="00055C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2025 al 05 de </w:t>
            </w:r>
            <w:r w:rsidRPr="4592BFCD" w:rsidR="6F2C65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e</w:t>
            </w:r>
            <w:r w:rsidRPr="4592BFCD" w:rsidR="00055C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nero</w:t>
            </w:r>
            <w:r w:rsidRPr="4592BFCD" w:rsidR="1E3309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4592BFCD" w:rsidR="00055C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2026 </w:t>
            </w:r>
          </w:p>
          <w:p w:rsidR="62516F2D" w:rsidP="4592BFCD" w:rsidRDefault="62516F2D" w14:paraId="54C4E156" w14:textId="24F24AB6">
            <w:pPr>
              <w:pStyle w:val="Normal"/>
            </w:pPr>
            <w:r w:rsidRPr="4592BFCD" w:rsidR="62516F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-</w:t>
            </w:r>
            <w:r w:rsidRPr="4592BFCD" w:rsidR="00055C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 xml:space="preserve">24 al 28 de </w:t>
            </w:r>
            <w:r w:rsidRPr="4592BFCD" w:rsidR="69B8F0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f</w:t>
            </w:r>
            <w:r w:rsidRPr="4592BFCD" w:rsidR="00055C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ebrero 2026</w:t>
            </w:r>
          </w:p>
        </w:tc>
        <w:tc>
          <w:tcPr>
            <w:tcW w:w="1090" w:type="dxa"/>
            <w:tcMar/>
            <w:vAlign w:val="center"/>
          </w:tcPr>
          <w:p w:rsidR="2BA5A1D2" w:rsidP="4592BFCD" w:rsidRDefault="2BA5A1D2" w14:paraId="7EECB193" w14:textId="68D96E6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BA5A1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1174</w:t>
            </w:r>
          </w:p>
        </w:tc>
        <w:tc>
          <w:tcPr>
            <w:tcW w:w="747" w:type="dxa"/>
            <w:tcMar/>
            <w:vAlign w:val="center"/>
          </w:tcPr>
          <w:p w:rsidR="18A6A68E" w:rsidP="4592BFCD" w:rsidRDefault="18A6A68E" w14:paraId="4459E2DD" w14:textId="476B993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18A6A6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1508</w:t>
            </w:r>
          </w:p>
        </w:tc>
        <w:tc>
          <w:tcPr>
            <w:tcW w:w="1057" w:type="dxa"/>
            <w:tcMar/>
            <w:vAlign w:val="center"/>
          </w:tcPr>
          <w:p w:rsidR="259268C6" w:rsidP="4592BFCD" w:rsidRDefault="259268C6" w14:paraId="2F66062C" w14:textId="110785A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59268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1474</w:t>
            </w:r>
          </w:p>
        </w:tc>
        <w:tc>
          <w:tcPr>
            <w:tcW w:w="743" w:type="dxa"/>
            <w:tcMar/>
            <w:vAlign w:val="center"/>
          </w:tcPr>
          <w:p w:rsidR="44219A09" w:rsidP="4592BFCD" w:rsidRDefault="44219A09" w14:paraId="49910645" w14:textId="745FAE8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44219A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1941</w:t>
            </w:r>
          </w:p>
        </w:tc>
        <w:tc>
          <w:tcPr>
            <w:tcW w:w="1110" w:type="dxa"/>
            <w:tcMar/>
            <w:vAlign w:val="center"/>
          </w:tcPr>
          <w:p w:rsidR="165B7D3B" w:rsidP="4592BFCD" w:rsidRDefault="165B7D3B" w14:paraId="6541CD07" w14:textId="6A98876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165B7D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2041</w:t>
            </w:r>
          </w:p>
        </w:tc>
        <w:tc>
          <w:tcPr>
            <w:tcW w:w="780" w:type="dxa"/>
            <w:tcMar/>
            <w:vAlign w:val="center"/>
          </w:tcPr>
          <w:p w:rsidR="2F5E78D9" w:rsidP="4592BFCD" w:rsidRDefault="2F5E78D9" w14:paraId="17D76176" w14:textId="6EDA9DA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</w:pPr>
            <w:r w:rsidRPr="4592BFCD" w:rsidR="2F5E78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ES"/>
              </w:rPr>
              <w:t>2708</w:t>
            </w:r>
          </w:p>
        </w:tc>
      </w:tr>
    </w:tbl>
    <w:p w:rsidR="4F5AA85D" w:rsidP="4592BFCD" w:rsidRDefault="4F5AA85D" w14:paraId="76492A89" w14:textId="0FAF65C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4F5AA85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highlight w:val="yellow"/>
          <w:lang w:val="es-ES"/>
        </w:rPr>
        <w:t>Notas:</w:t>
      </w:r>
    </w:p>
    <w:p w:rsidR="4F5AA85D" w:rsidP="4592BFCD" w:rsidRDefault="4F5AA85D" w14:paraId="395C560C" w14:textId="414A5C1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4F5AA85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-3ra. cama es un sofá o catre</w:t>
      </w:r>
    </w:p>
    <w:p w:rsidR="4F5AA85D" w:rsidP="4592BFCD" w:rsidRDefault="4F5AA85D" w14:paraId="03AE58EB" w14:textId="3601CD0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  <w:r w:rsidRPr="4592BFCD" w:rsidR="4F5AA85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  <w:t>-Noches extras: consultar valores (aplica costo por traslados)</w:t>
      </w:r>
    </w:p>
    <w:p w:rsidR="4592BFCD" w:rsidP="4592BFCD" w:rsidRDefault="4592BFCD" w14:paraId="0151F8F6" w14:textId="62E248B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p w:rsidR="4592BFCD" w:rsidP="4592BFCD" w:rsidRDefault="4592BFCD" w14:paraId="69CAF5E5" w14:textId="5B519E62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</w:pPr>
    </w:p>
    <w:p w:rsidR="4592BFCD" w:rsidP="4592BFCD" w:rsidRDefault="4592BFCD" w14:paraId="2A912A32" w14:textId="5F776877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</w:pPr>
    </w:p>
    <w:p w:rsidR="4592BFCD" w:rsidP="4592BFCD" w:rsidRDefault="4592BFCD" w14:paraId="0538CE6E" w14:textId="0333C3F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</w:pPr>
    </w:p>
    <w:p w:rsidR="4592BFCD" w:rsidP="4592BFCD" w:rsidRDefault="4592BFCD" w14:paraId="6D2BFC24" w14:textId="628FF772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</w:pPr>
    </w:p>
    <w:p w:rsidR="4592BFCD" w:rsidP="64668D5A" w:rsidRDefault="4592BFCD" w14:paraId="7F2D4647" w14:textId="00A4C29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</w:pPr>
    </w:p>
    <w:p w:rsidR="64668D5A" w:rsidP="64668D5A" w:rsidRDefault="64668D5A" w14:paraId="0F0716F9" w14:textId="0FE1A2C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</w:pPr>
    </w:p>
    <w:p w:rsidR="64668D5A" w:rsidP="64668D5A" w:rsidRDefault="64668D5A" w14:paraId="26D3201E" w14:textId="5EE716E4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</w:pPr>
    </w:p>
    <w:p w:rsidR="64668D5A" w:rsidP="64668D5A" w:rsidRDefault="64668D5A" w14:paraId="461251FE" w14:textId="15930814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</w:pPr>
    </w:p>
    <w:p w:rsidR="22B19F92" w:rsidP="4592BFCD" w:rsidRDefault="22B19F92" w14:paraId="3C581AB6" w14:textId="20D05FF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</w:pPr>
      <w:r w:rsidRPr="4592BFCD" w:rsidR="22B19F92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  <w:t>CONDICIONES GENERALES</w:t>
      </w:r>
    </w:p>
    <w:p w:rsidR="4592BFCD" w:rsidP="4592BFCD" w:rsidRDefault="4592BFCD" w14:paraId="52A2BBD9" w14:textId="67349A1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</w:rPr>
      </w:pPr>
    </w:p>
    <w:p w:rsidR="23FA8264" w:rsidP="4592BFCD" w:rsidRDefault="23FA8264" w14:paraId="7029A37C" w14:textId="153A2689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4592BFCD" w:rsidR="23FA826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-Niños a partir de 12 años se consideran adultos</w:t>
      </w:r>
    </w:p>
    <w:p w:rsidR="23FA8264" w:rsidP="4592BFCD" w:rsidRDefault="23FA8264" w14:paraId="0A7266DB" w14:textId="0C45B3CB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4592BFCD" w:rsidR="23FA826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- Guías acompañantes de habla español a partir de 07 pasajeros</w:t>
      </w:r>
    </w:p>
    <w:p w:rsidR="76A04DA1" w:rsidP="4592BFCD" w:rsidRDefault="76A04DA1" w14:paraId="5B878452" w14:textId="5570FA20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4592BFCD" w:rsidR="76A04DA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- Guías locales para las visitas mencionadas en los programas </w:t>
      </w:r>
    </w:p>
    <w:p w:rsidR="76A04DA1" w:rsidP="4592BFCD" w:rsidRDefault="76A04DA1" w14:paraId="1F611FC2" w14:textId="2608E2CD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4592BFCD" w:rsidR="76A04DA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- Choferes guías de habla español para los circuitos regulares con </w:t>
      </w:r>
      <w:r w:rsidRPr="4592BFCD" w:rsidR="3B67302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menos de</w:t>
      </w:r>
      <w:r w:rsidRPr="4592BFCD" w:rsidR="76A04DA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07 pasajeros</w:t>
      </w:r>
    </w:p>
    <w:p w:rsidR="76A04DA1" w:rsidP="4592BFCD" w:rsidRDefault="76A04DA1" w14:paraId="48B70693" w14:textId="3F095ECF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4592BFCD" w:rsidR="76A04DA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-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Cancelaciones: las cancelaciones deben ser aprobadas / respondidas por escrito vía un correo electrónico.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Considerar horario local del proveedor.</w:t>
      </w:r>
    </w:p>
    <w:p w:rsidR="4980EC42" w:rsidP="4592BFCD" w:rsidRDefault="4980EC42" w14:paraId="757BFA4A" w14:textId="77A7B034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Hasta 21 días antes de la fecha de la llegada</w:t>
      </w:r>
      <w:r w:rsidRPr="4592BFCD" w:rsidR="7FD79B6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: 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sin cargos.</w:t>
      </w:r>
    </w:p>
    <w:p w:rsidR="4980EC42" w:rsidP="4592BFCD" w:rsidRDefault="4980EC42" w14:paraId="62EEFCC5" w14:textId="3A7CA7A8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Cancelación de </w:t>
      </w:r>
      <w:r w:rsidRPr="4592BFCD" w:rsidR="6B7C09E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12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a 20 días antes de la fecha de la</w:t>
      </w:r>
      <w:r w:rsidRPr="4592BFCD" w:rsidR="31D6C876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llegada</w:t>
      </w:r>
      <w:r w:rsidRPr="4592BFCD" w:rsidR="4695D82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: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50 % del precio del paquete de viaje.</w:t>
      </w:r>
    </w:p>
    <w:p w:rsidR="4980EC42" w:rsidP="4592BFCD" w:rsidRDefault="4980EC42" w14:paraId="0510C429" w14:textId="58F26C06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Cancelación de 0</w:t>
      </w:r>
      <w:r w:rsidRPr="4592BFCD" w:rsidR="15F502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8 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a </w:t>
      </w:r>
      <w:r w:rsidRPr="4592BFCD" w:rsidR="655BA12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11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días antes de la fecha de la</w:t>
      </w:r>
      <w:r w:rsidRPr="4592BFCD" w:rsidR="3D779EBD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llegada</w:t>
      </w:r>
      <w:r w:rsidRPr="4592BFCD" w:rsidR="162E3E0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: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75 % del precio del paquete de viaje.</w:t>
      </w:r>
    </w:p>
    <w:p w:rsidR="4980EC42" w:rsidP="4592BFCD" w:rsidRDefault="4980EC42" w14:paraId="469FC859" w14:textId="26B9AE1C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64668D5A" w:rsidR="65BB8E9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Con menos de 0</w:t>
      </w:r>
      <w:r w:rsidRPr="64668D5A" w:rsidR="4DCC079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8</w:t>
      </w:r>
      <w:r w:rsidRPr="64668D5A" w:rsidR="65BB8E9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días será cobrado como NO </w:t>
      </w:r>
      <w:r w:rsidRPr="64668D5A" w:rsidR="65BB8E9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SHOW</w:t>
      </w:r>
      <w:r w:rsidRPr="64668D5A" w:rsidR="5DF94C4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Pr="64668D5A" w:rsidR="65BB8E9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(100 % del precio del paquete de viaje).</w:t>
      </w:r>
    </w:p>
    <w:p w:rsidR="4980EC42" w:rsidP="4592BFCD" w:rsidRDefault="4980EC42" w14:paraId="306D153E" w14:textId="466D4A37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Los vuelos domésticos y los 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ferries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una vez emitidos 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tendrán gastos</w:t>
      </w:r>
      <w:r w:rsidRPr="4592BFCD" w:rsidR="4D8B064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Pr="4592BFCD" w:rsidR="4980EC4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  <w:t>de 100 % del valor del billete.</w:t>
      </w:r>
    </w:p>
    <w:p w:rsidR="4592BFCD" w:rsidP="4592BFCD" w:rsidRDefault="4592BFCD" w14:paraId="196077AC" w14:textId="1AF68D2A">
      <w:pPr>
        <w:pStyle w:val="Normal"/>
        <w:spacing w:before="220" w:beforeAutospacing="off" w:after="22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</w:p>
    <w:p w:rsidR="4592BFCD" w:rsidP="4592BFCD" w:rsidRDefault="4592BFCD" w14:paraId="58E6EF53" w14:textId="3617A2D4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</w:p>
    <w:p w:rsidR="4592BFCD" w:rsidP="4592BFCD" w:rsidRDefault="4592BFCD" w14:paraId="6A48268E" w14:textId="210707B5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</w:p>
    <w:p w:rsidR="1798E878" w:rsidP="4592BFCD" w:rsidRDefault="1798E878" w14:paraId="3DCFB4E1" w14:textId="029BD7C0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  <w:r w:rsidRPr="4592BFCD" w:rsidR="2CA242C7"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5809a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af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6a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055C30"/>
    <w:rsid w:val="00202A09"/>
    <w:rsid w:val="0046566F"/>
    <w:rsid w:val="00627EEC"/>
    <w:rsid w:val="008B6C13"/>
    <w:rsid w:val="00A9CFE9"/>
    <w:rsid w:val="00CDCBE8"/>
    <w:rsid w:val="00DE2CD7"/>
    <w:rsid w:val="010CB858"/>
    <w:rsid w:val="011A9A74"/>
    <w:rsid w:val="01453108"/>
    <w:rsid w:val="015E5A90"/>
    <w:rsid w:val="01885B58"/>
    <w:rsid w:val="018B237A"/>
    <w:rsid w:val="01A3611E"/>
    <w:rsid w:val="01ABB613"/>
    <w:rsid w:val="01C537B5"/>
    <w:rsid w:val="01D126DF"/>
    <w:rsid w:val="01D7C931"/>
    <w:rsid w:val="0201C235"/>
    <w:rsid w:val="0254F232"/>
    <w:rsid w:val="0255AE7C"/>
    <w:rsid w:val="0283E6A9"/>
    <w:rsid w:val="02844281"/>
    <w:rsid w:val="02CD3ABD"/>
    <w:rsid w:val="02D78523"/>
    <w:rsid w:val="030BCDF8"/>
    <w:rsid w:val="031D597C"/>
    <w:rsid w:val="03896D9F"/>
    <w:rsid w:val="038E6439"/>
    <w:rsid w:val="03C78FC2"/>
    <w:rsid w:val="03D9120E"/>
    <w:rsid w:val="03DF5B24"/>
    <w:rsid w:val="03EF32D0"/>
    <w:rsid w:val="042D15CF"/>
    <w:rsid w:val="043A2FD3"/>
    <w:rsid w:val="0461A43E"/>
    <w:rsid w:val="04C06E93"/>
    <w:rsid w:val="0515D1EE"/>
    <w:rsid w:val="055FE638"/>
    <w:rsid w:val="05B1AAB7"/>
    <w:rsid w:val="05DE724C"/>
    <w:rsid w:val="062845ED"/>
    <w:rsid w:val="065AA725"/>
    <w:rsid w:val="06685B55"/>
    <w:rsid w:val="06704111"/>
    <w:rsid w:val="067EC83A"/>
    <w:rsid w:val="069B321B"/>
    <w:rsid w:val="06A279C5"/>
    <w:rsid w:val="06CF4BA4"/>
    <w:rsid w:val="07402BB1"/>
    <w:rsid w:val="0771FD73"/>
    <w:rsid w:val="07F258F4"/>
    <w:rsid w:val="0803527E"/>
    <w:rsid w:val="082784A8"/>
    <w:rsid w:val="082ECC02"/>
    <w:rsid w:val="089E1E05"/>
    <w:rsid w:val="08C08DA1"/>
    <w:rsid w:val="092DCB7E"/>
    <w:rsid w:val="092DCB7E"/>
    <w:rsid w:val="09415050"/>
    <w:rsid w:val="0974A6FA"/>
    <w:rsid w:val="097C2FD1"/>
    <w:rsid w:val="098D5B2A"/>
    <w:rsid w:val="09A785C4"/>
    <w:rsid w:val="09C400B5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ED5539"/>
    <w:rsid w:val="0AF17BAB"/>
    <w:rsid w:val="0B10460C"/>
    <w:rsid w:val="0B49CC68"/>
    <w:rsid w:val="0B7B7647"/>
    <w:rsid w:val="0B9238C9"/>
    <w:rsid w:val="0C304EDB"/>
    <w:rsid w:val="0C3AB235"/>
    <w:rsid w:val="0C62E41A"/>
    <w:rsid w:val="0C6AA1A5"/>
    <w:rsid w:val="0C7276EC"/>
    <w:rsid w:val="0CACD80B"/>
    <w:rsid w:val="0CE5F8F1"/>
    <w:rsid w:val="0CE9FF9C"/>
    <w:rsid w:val="0D081B8E"/>
    <w:rsid w:val="0D0B1E5B"/>
    <w:rsid w:val="0D4016C6"/>
    <w:rsid w:val="0D9D2E7F"/>
    <w:rsid w:val="0D9FCC0C"/>
    <w:rsid w:val="0DCC5762"/>
    <w:rsid w:val="0E00A3B9"/>
    <w:rsid w:val="0E058173"/>
    <w:rsid w:val="0E3F6BC4"/>
    <w:rsid w:val="0E4FB023"/>
    <w:rsid w:val="0EE0EF62"/>
    <w:rsid w:val="0EF37282"/>
    <w:rsid w:val="0F2067DF"/>
    <w:rsid w:val="0F433640"/>
    <w:rsid w:val="0FD72D2B"/>
    <w:rsid w:val="0FD901B1"/>
    <w:rsid w:val="10227D90"/>
    <w:rsid w:val="10297C5B"/>
    <w:rsid w:val="10337DBD"/>
    <w:rsid w:val="105F365B"/>
    <w:rsid w:val="1081E86F"/>
    <w:rsid w:val="109FB83D"/>
    <w:rsid w:val="10EA5EA7"/>
    <w:rsid w:val="11054A3D"/>
    <w:rsid w:val="11184633"/>
    <w:rsid w:val="113134E4"/>
    <w:rsid w:val="11A44547"/>
    <w:rsid w:val="11C191BF"/>
    <w:rsid w:val="11D1D202"/>
    <w:rsid w:val="11EF2F68"/>
    <w:rsid w:val="120146B1"/>
    <w:rsid w:val="121FE542"/>
    <w:rsid w:val="1220195C"/>
    <w:rsid w:val="122F8CB0"/>
    <w:rsid w:val="124FD82C"/>
    <w:rsid w:val="128E3E0F"/>
    <w:rsid w:val="12C56253"/>
    <w:rsid w:val="12CA7FD6"/>
    <w:rsid w:val="12DE2AB0"/>
    <w:rsid w:val="12DEDC87"/>
    <w:rsid w:val="12E02720"/>
    <w:rsid w:val="13146E70"/>
    <w:rsid w:val="131E6CCB"/>
    <w:rsid w:val="13601482"/>
    <w:rsid w:val="1370F6B1"/>
    <w:rsid w:val="13969823"/>
    <w:rsid w:val="13B2A517"/>
    <w:rsid w:val="13C50DFE"/>
    <w:rsid w:val="13C7577F"/>
    <w:rsid w:val="13D30314"/>
    <w:rsid w:val="13E83807"/>
    <w:rsid w:val="145BA0B1"/>
    <w:rsid w:val="146932A8"/>
    <w:rsid w:val="1487EBC2"/>
    <w:rsid w:val="149C08C7"/>
    <w:rsid w:val="14AA6D50"/>
    <w:rsid w:val="14D938C3"/>
    <w:rsid w:val="14E48D92"/>
    <w:rsid w:val="153F1F80"/>
    <w:rsid w:val="1574286D"/>
    <w:rsid w:val="157BF8EF"/>
    <w:rsid w:val="15BD2EFC"/>
    <w:rsid w:val="15F50244"/>
    <w:rsid w:val="15F6594A"/>
    <w:rsid w:val="161FF292"/>
    <w:rsid w:val="1627BE8D"/>
    <w:rsid w:val="1627BE8D"/>
    <w:rsid w:val="162E3E0B"/>
    <w:rsid w:val="165B7D3B"/>
    <w:rsid w:val="166BDB79"/>
    <w:rsid w:val="169B0CB7"/>
    <w:rsid w:val="16B750A0"/>
    <w:rsid w:val="17158D4D"/>
    <w:rsid w:val="1758699C"/>
    <w:rsid w:val="1798E878"/>
    <w:rsid w:val="17A31194"/>
    <w:rsid w:val="17C9C5D5"/>
    <w:rsid w:val="17E703D9"/>
    <w:rsid w:val="181AC1B2"/>
    <w:rsid w:val="18A4996C"/>
    <w:rsid w:val="18A6A68E"/>
    <w:rsid w:val="18A85E3B"/>
    <w:rsid w:val="18DEEE68"/>
    <w:rsid w:val="18E3AF72"/>
    <w:rsid w:val="1917A1D3"/>
    <w:rsid w:val="19609078"/>
    <w:rsid w:val="1968847E"/>
    <w:rsid w:val="197F96CC"/>
    <w:rsid w:val="19A8420F"/>
    <w:rsid w:val="19C456E5"/>
    <w:rsid w:val="1A01601E"/>
    <w:rsid w:val="1A016981"/>
    <w:rsid w:val="1A3203C2"/>
    <w:rsid w:val="1A808B7A"/>
    <w:rsid w:val="1A981C6B"/>
    <w:rsid w:val="1AD88704"/>
    <w:rsid w:val="1AD9A9C7"/>
    <w:rsid w:val="1AE7A5EC"/>
    <w:rsid w:val="1B1B83BB"/>
    <w:rsid w:val="1B22B937"/>
    <w:rsid w:val="1B2FB8EF"/>
    <w:rsid w:val="1B6B72C0"/>
    <w:rsid w:val="1B709A8E"/>
    <w:rsid w:val="1BB1DA88"/>
    <w:rsid w:val="1BC87CDF"/>
    <w:rsid w:val="1BDF14D9"/>
    <w:rsid w:val="1BED731C"/>
    <w:rsid w:val="1BF3C647"/>
    <w:rsid w:val="1BFDF646"/>
    <w:rsid w:val="1C240126"/>
    <w:rsid w:val="1C5C5C9F"/>
    <w:rsid w:val="1C67D16C"/>
    <w:rsid w:val="1C6EFBB5"/>
    <w:rsid w:val="1C8FD303"/>
    <w:rsid w:val="1CB67D11"/>
    <w:rsid w:val="1CD68416"/>
    <w:rsid w:val="1D09B938"/>
    <w:rsid w:val="1D44D189"/>
    <w:rsid w:val="1D4B100D"/>
    <w:rsid w:val="1D4F4BF0"/>
    <w:rsid w:val="1D592B8C"/>
    <w:rsid w:val="1E10F550"/>
    <w:rsid w:val="1E16D9CE"/>
    <w:rsid w:val="1E330947"/>
    <w:rsid w:val="1E47CD31"/>
    <w:rsid w:val="1E48D73B"/>
    <w:rsid w:val="1E8260D3"/>
    <w:rsid w:val="1EA57F36"/>
    <w:rsid w:val="1EAAEED8"/>
    <w:rsid w:val="1EB73BAF"/>
    <w:rsid w:val="1ECD5EA2"/>
    <w:rsid w:val="1EDBBF52"/>
    <w:rsid w:val="1F23560B"/>
    <w:rsid w:val="1F606C0D"/>
    <w:rsid w:val="1F66A6B1"/>
    <w:rsid w:val="1F7087DD"/>
    <w:rsid w:val="1F8CF883"/>
    <w:rsid w:val="1F8E83BF"/>
    <w:rsid w:val="1F8F8A13"/>
    <w:rsid w:val="1FEC6E03"/>
    <w:rsid w:val="1FF9CD0A"/>
    <w:rsid w:val="2006AFC9"/>
    <w:rsid w:val="201D2F86"/>
    <w:rsid w:val="206CC11D"/>
    <w:rsid w:val="2075C2E0"/>
    <w:rsid w:val="208A7936"/>
    <w:rsid w:val="20C6F70F"/>
    <w:rsid w:val="20E24C08"/>
    <w:rsid w:val="20EDDC89"/>
    <w:rsid w:val="21055940"/>
    <w:rsid w:val="211A9EE7"/>
    <w:rsid w:val="214B6372"/>
    <w:rsid w:val="2154BD28"/>
    <w:rsid w:val="21588567"/>
    <w:rsid w:val="219989D0"/>
    <w:rsid w:val="225A5180"/>
    <w:rsid w:val="2267DCED"/>
    <w:rsid w:val="228160DD"/>
    <w:rsid w:val="22B0C400"/>
    <w:rsid w:val="22B19F92"/>
    <w:rsid w:val="22B7787D"/>
    <w:rsid w:val="22B7787D"/>
    <w:rsid w:val="2302D281"/>
    <w:rsid w:val="23060DE1"/>
    <w:rsid w:val="2330B44A"/>
    <w:rsid w:val="23609AE5"/>
    <w:rsid w:val="2397AB93"/>
    <w:rsid w:val="23FA8264"/>
    <w:rsid w:val="240D7747"/>
    <w:rsid w:val="241EDCE7"/>
    <w:rsid w:val="24361218"/>
    <w:rsid w:val="2440CC01"/>
    <w:rsid w:val="24B86ED0"/>
    <w:rsid w:val="24C29A53"/>
    <w:rsid w:val="24C6B7D5"/>
    <w:rsid w:val="24FE8B69"/>
    <w:rsid w:val="2501B153"/>
    <w:rsid w:val="2506524F"/>
    <w:rsid w:val="2516FD1B"/>
    <w:rsid w:val="25379539"/>
    <w:rsid w:val="2564113F"/>
    <w:rsid w:val="257A40DA"/>
    <w:rsid w:val="259268C6"/>
    <w:rsid w:val="25A4B616"/>
    <w:rsid w:val="26016385"/>
    <w:rsid w:val="261B19B9"/>
    <w:rsid w:val="2620D26B"/>
    <w:rsid w:val="263EBD95"/>
    <w:rsid w:val="26622A86"/>
    <w:rsid w:val="267A6F07"/>
    <w:rsid w:val="26841616"/>
    <w:rsid w:val="26EFE441"/>
    <w:rsid w:val="2713572D"/>
    <w:rsid w:val="271395B8"/>
    <w:rsid w:val="27454DBF"/>
    <w:rsid w:val="274CCF54"/>
    <w:rsid w:val="2769DEA0"/>
    <w:rsid w:val="2798B6B3"/>
    <w:rsid w:val="279F34A4"/>
    <w:rsid w:val="27A59034"/>
    <w:rsid w:val="27B036FA"/>
    <w:rsid w:val="27B480F1"/>
    <w:rsid w:val="27F66184"/>
    <w:rsid w:val="280B0A79"/>
    <w:rsid w:val="281BE3C5"/>
    <w:rsid w:val="282E0E7D"/>
    <w:rsid w:val="2833C4AC"/>
    <w:rsid w:val="286A48CF"/>
    <w:rsid w:val="286F017E"/>
    <w:rsid w:val="2872B82D"/>
    <w:rsid w:val="2878B1BA"/>
    <w:rsid w:val="2894648B"/>
    <w:rsid w:val="28A85CD9"/>
    <w:rsid w:val="291A9AE1"/>
    <w:rsid w:val="295AA4DB"/>
    <w:rsid w:val="29B92185"/>
    <w:rsid w:val="29E4FCCB"/>
    <w:rsid w:val="2A04DE93"/>
    <w:rsid w:val="2A0E55A0"/>
    <w:rsid w:val="2A110BA7"/>
    <w:rsid w:val="2A1EE41A"/>
    <w:rsid w:val="2A33064E"/>
    <w:rsid w:val="2A3FAA5A"/>
    <w:rsid w:val="2A455259"/>
    <w:rsid w:val="2A5F0EA0"/>
    <w:rsid w:val="2AC6D1D6"/>
    <w:rsid w:val="2AD01E5C"/>
    <w:rsid w:val="2AFA390E"/>
    <w:rsid w:val="2B496E11"/>
    <w:rsid w:val="2B66F549"/>
    <w:rsid w:val="2B7D5BC2"/>
    <w:rsid w:val="2BA5A1D2"/>
    <w:rsid w:val="2BB97492"/>
    <w:rsid w:val="2C1216E2"/>
    <w:rsid w:val="2C16E77D"/>
    <w:rsid w:val="2C497400"/>
    <w:rsid w:val="2C58EB1D"/>
    <w:rsid w:val="2C6B88C5"/>
    <w:rsid w:val="2C7C9975"/>
    <w:rsid w:val="2C9B483B"/>
    <w:rsid w:val="2CA242C7"/>
    <w:rsid w:val="2CAAEE2C"/>
    <w:rsid w:val="2CB18440"/>
    <w:rsid w:val="2CC80AAB"/>
    <w:rsid w:val="2CC99223"/>
    <w:rsid w:val="2CE68AD4"/>
    <w:rsid w:val="2D336F70"/>
    <w:rsid w:val="2D737D3B"/>
    <w:rsid w:val="2D95319C"/>
    <w:rsid w:val="2D98AAA4"/>
    <w:rsid w:val="2DDB0B09"/>
    <w:rsid w:val="2DE9D4CB"/>
    <w:rsid w:val="2E0C2803"/>
    <w:rsid w:val="2E0F157E"/>
    <w:rsid w:val="2E4F135C"/>
    <w:rsid w:val="2E5E2C48"/>
    <w:rsid w:val="2E9C42F5"/>
    <w:rsid w:val="2EF89FD1"/>
    <w:rsid w:val="2EFD3CC0"/>
    <w:rsid w:val="2F0AAA8C"/>
    <w:rsid w:val="2F46F7BC"/>
    <w:rsid w:val="2F4C8621"/>
    <w:rsid w:val="2F5E78D9"/>
    <w:rsid w:val="2F799C50"/>
    <w:rsid w:val="2F83E2F1"/>
    <w:rsid w:val="2FA568E7"/>
    <w:rsid w:val="2FAA1EA6"/>
    <w:rsid w:val="2FC96816"/>
    <w:rsid w:val="2FD7A743"/>
    <w:rsid w:val="2FF691F4"/>
    <w:rsid w:val="303E1ACD"/>
    <w:rsid w:val="30500E30"/>
    <w:rsid w:val="306C1A4D"/>
    <w:rsid w:val="30A3ABD5"/>
    <w:rsid w:val="30E63EE1"/>
    <w:rsid w:val="310F9754"/>
    <w:rsid w:val="311BCA53"/>
    <w:rsid w:val="312EE318"/>
    <w:rsid w:val="316ADAF3"/>
    <w:rsid w:val="317DFF58"/>
    <w:rsid w:val="318FBCCF"/>
    <w:rsid w:val="31AFCB3B"/>
    <w:rsid w:val="31C37C2F"/>
    <w:rsid w:val="31D6C876"/>
    <w:rsid w:val="31DD0085"/>
    <w:rsid w:val="31DEC49E"/>
    <w:rsid w:val="32034168"/>
    <w:rsid w:val="322E4146"/>
    <w:rsid w:val="32513824"/>
    <w:rsid w:val="32DC7481"/>
    <w:rsid w:val="32DF1172"/>
    <w:rsid w:val="3310519B"/>
    <w:rsid w:val="334E6D44"/>
    <w:rsid w:val="335DE2E4"/>
    <w:rsid w:val="33D42E99"/>
    <w:rsid w:val="33F3C53B"/>
    <w:rsid w:val="3409A7E7"/>
    <w:rsid w:val="340C9354"/>
    <w:rsid w:val="3434FECB"/>
    <w:rsid w:val="34386433"/>
    <w:rsid w:val="34636951"/>
    <w:rsid w:val="346E60CB"/>
    <w:rsid w:val="34BD5737"/>
    <w:rsid w:val="34E0D53A"/>
    <w:rsid w:val="3510607B"/>
    <w:rsid w:val="351C959B"/>
    <w:rsid w:val="351EA3F3"/>
    <w:rsid w:val="3541E824"/>
    <w:rsid w:val="355A2ACC"/>
    <w:rsid w:val="35E2D6F8"/>
    <w:rsid w:val="362F37AB"/>
    <w:rsid w:val="366EC2ED"/>
    <w:rsid w:val="366EC2ED"/>
    <w:rsid w:val="36973BFA"/>
    <w:rsid w:val="36E472C9"/>
    <w:rsid w:val="3720918F"/>
    <w:rsid w:val="37225AB6"/>
    <w:rsid w:val="3723D4AF"/>
    <w:rsid w:val="37353DEB"/>
    <w:rsid w:val="37452A2E"/>
    <w:rsid w:val="37582EF2"/>
    <w:rsid w:val="375E51D9"/>
    <w:rsid w:val="37B5FC21"/>
    <w:rsid w:val="37BB3541"/>
    <w:rsid w:val="37BB3541"/>
    <w:rsid w:val="37F44CC5"/>
    <w:rsid w:val="37FF6658"/>
    <w:rsid w:val="3800876D"/>
    <w:rsid w:val="381EC212"/>
    <w:rsid w:val="38CA5149"/>
    <w:rsid w:val="390DC27B"/>
    <w:rsid w:val="3933D0F2"/>
    <w:rsid w:val="3995F45A"/>
    <w:rsid w:val="3A167302"/>
    <w:rsid w:val="3A19EA30"/>
    <w:rsid w:val="3A486018"/>
    <w:rsid w:val="3A94772F"/>
    <w:rsid w:val="3AA2498A"/>
    <w:rsid w:val="3AB660A3"/>
    <w:rsid w:val="3AB660A3"/>
    <w:rsid w:val="3ABB17DF"/>
    <w:rsid w:val="3B67302A"/>
    <w:rsid w:val="3B83F239"/>
    <w:rsid w:val="3BAB3D64"/>
    <w:rsid w:val="3BADC1C2"/>
    <w:rsid w:val="3BD8F087"/>
    <w:rsid w:val="3BFC1EBE"/>
    <w:rsid w:val="3C1A1D62"/>
    <w:rsid w:val="3C1F4779"/>
    <w:rsid w:val="3C21C24D"/>
    <w:rsid w:val="3C269723"/>
    <w:rsid w:val="3C6FEB45"/>
    <w:rsid w:val="3C70B4C4"/>
    <w:rsid w:val="3C78B839"/>
    <w:rsid w:val="3C9C883C"/>
    <w:rsid w:val="3CCE664C"/>
    <w:rsid w:val="3CD2908C"/>
    <w:rsid w:val="3CE63DB8"/>
    <w:rsid w:val="3D005F78"/>
    <w:rsid w:val="3D227596"/>
    <w:rsid w:val="3D737203"/>
    <w:rsid w:val="3D779EBD"/>
    <w:rsid w:val="3D92D052"/>
    <w:rsid w:val="3D92D052"/>
    <w:rsid w:val="3DA99BB6"/>
    <w:rsid w:val="3DB7453B"/>
    <w:rsid w:val="3DFB686F"/>
    <w:rsid w:val="3E0BF896"/>
    <w:rsid w:val="3E290DF0"/>
    <w:rsid w:val="3E2C8642"/>
    <w:rsid w:val="3E40C3B4"/>
    <w:rsid w:val="3E5229BE"/>
    <w:rsid w:val="3E5852BC"/>
    <w:rsid w:val="3E697CA4"/>
    <w:rsid w:val="3E9B8EE4"/>
    <w:rsid w:val="3EA774F6"/>
    <w:rsid w:val="3EB0D882"/>
    <w:rsid w:val="3EEE9E28"/>
    <w:rsid w:val="3F0AB054"/>
    <w:rsid w:val="3F285AFB"/>
    <w:rsid w:val="3F35433A"/>
    <w:rsid w:val="3F8EC3B2"/>
    <w:rsid w:val="3FABB2BA"/>
    <w:rsid w:val="3FDACAC9"/>
    <w:rsid w:val="3FDC1FAE"/>
    <w:rsid w:val="3FF8EBA8"/>
    <w:rsid w:val="3FFB7A59"/>
    <w:rsid w:val="40200C51"/>
    <w:rsid w:val="403B2A9B"/>
    <w:rsid w:val="40CE8940"/>
    <w:rsid w:val="40DEC37A"/>
    <w:rsid w:val="410FFA65"/>
    <w:rsid w:val="417B4F54"/>
    <w:rsid w:val="417E4334"/>
    <w:rsid w:val="4184FFCC"/>
    <w:rsid w:val="418D0713"/>
    <w:rsid w:val="41C43643"/>
    <w:rsid w:val="41E003E9"/>
    <w:rsid w:val="41F55059"/>
    <w:rsid w:val="41F7D835"/>
    <w:rsid w:val="41FEA2B2"/>
    <w:rsid w:val="420AFD28"/>
    <w:rsid w:val="42213596"/>
    <w:rsid w:val="4222F94B"/>
    <w:rsid w:val="42361D39"/>
    <w:rsid w:val="4253655B"/>
    <w:rsid w:val="42615F57"/>
    <w:rsid w:val="42A28941"/>
    <w:rsid w:val="42BD0932"/>
    <w:rsid w:val="42E2092D"/>
    <w:rsid w:val="42F49335"/>
    <w:rsid w:val="4340EECA"/>
    <w:rsid w:val="4343025E"/>
    <w:rsid w:val="436D5447"/>
    <w:rsid w:val="43C449D3"/>
    <w:rsid w:val="43F6BD04"/>
    <w:rsid w:val="44219A09"/>
    <w:rsid w:val="4428B1E6"/>
    <w:rsid w:val="44505B2C"/>
    <w:rsid w:val="4487E2E8"/>
    <w:rsid w:val="44AD9EC9"/>
    <w:rsid w:val="44D474BA"/>
    <w:rsid w:val="44EB0208"/>
    <w:rsid w:val="44F6B2BE"/>
    <w:rsid w:val="45103D01"/>
    <w:rsid w:val="45753524"/>
    <w:rsid w:val="4592BFCD"/>
    <w:rsid w:val="459341DB"/>
    <w:rsid w:val="45A8FE89"/>
    <w:rsid w:val="45BB4585"/>
    <w:rsid w:val="45DF3A0C"/>
    <w:rsid w:val="460C01C4"/>
    <w:rsid w:val="46120CAF"/>
    <w:rsid w:val="462F6F5E"/>
    <w:rsid w:val="464DE3DF"/>
    <w:rsid w:val="4695D820"/>
    <w:rsid w:val="469CB953"/>
    <w:rsid w:val="46B9CEE9"/>
    <w:rsid w:val="46BDFC4D"/>
    <w:rsid w:val="4707B72C"/>
    <w:rsid w:val="474C982B"/>
    <w:rsid w:val="4762C52A"/>
    <w:rsid w:val="47759522"/>
    <w:rsid w:val="47977E6F"/>
    <w:rsid w:val="47C8B93D"/>
    <w:rsid w:val="47DEB3BF"/>
    <w:rsid w:val="481F407A"/>
    <w:rsid w:val="48609ADE"/>
    <w:rsid w:val="48BE6F30"/>
    <w:rsid w:val="48F0E90B"/>
    <w:rsid w:val="48F419C2"/>
    <w:rsid w:val="493C4E68"/>
    <w:rsid w:val="4952EEF7"/>
    <w:rsid w:val="49540939"/>
    <w:rsid w:val="4980EC42"/>
    <w:rsid w:val="4986CED5"/>
    <w:rsid w:val="498ACDE3"/>
    <w:rsid w:val="49C1E670"/>
    <w:rsid w:val="49C7F74B"/>
    <w:rsid w:val="49C80CB1"/>
    <w:rsid w:val="49D5F7BB"/>
    <w:rsid w:val="49E0FFBC"/>
    <w:rsid w:val="4A05A743"/>
    <w:rsid w:val="4A143455"/>
    <w:rsid w:val="4A429552"/>
    <w:rsid w:val="4ACE2B2E"/>
    <w:rsid w:val="4B2CC8FA"/>
    <w:rsid w:val="4B2CC8FA"/>
    <w:rsid w:val="4B323A46"/>
    <w:rsid w:val="4B65B870"/>
    <w:rsid w:val="4B75FB2C"/>
    <w:rsid w:val="4B778A69"/>
    <w:rsid w:val="4B971140"/>
    <w:rsid w:val="4BB4BE79"/>
    <w:rsid w:val="4C306516"/>
    <w:rsid w:val="4C77860F"/>
    <w:rsid w:val="4C9BD33F"/>
    <w:rsid w:val="4CDE8B5D"/>
    <w:rsid w:val="4CE2CC34"/>
    <w:rsid w:val="4CFFEF73"/>
    <w:rsid w:val="4D2CC8A3"/>
    <w:rsid w:val="4D82BA9B"/>
    <w:rsid w:val="4D8B0640"/>
    <w:rsid w:val="4D97FC74"/>
    <w:rsid w:val="4D9A0EA0"/>
    <w:rsid w:val="4DCC0795"/>
    <w:rsid w:val="4DDB5F7E"/>
    <w:rsid w:val="4DDCFB8A"/>
    <w:rsid w:val="4E8DCD0B"/>
    <w:rsid w:val="4F191CB0"/>
    <w:rsid w:val="4F208DE2"/>
    <w:rsid w:val="4F59B66C"/>
    <w:rsid w:val="4F5AA85D"/>
    <w:rsid w:val="5001F27D"/>
    <w:rsid w:val="501F9E6C"/>
    <w:rsid w:val="504E9354"/>
    <w:rsid w:val="504F7749"/>
    <w:rsid w:val="5059567E"/>
    <w:rsid w:val="50787D78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BB6739"/>
    <w:rsid w:val="5326F18E"/>
    <w:rsid w:val="53568DFE"/>
    <w:rsid w:val="537BB9D3"/>
    <w:rsid w:val="53896F91"/>
    <w:rsid w:val="53A76A50"/>
    <w:rsid w:val="53B6E32B"/>
    <w:rsid w:val="53F7835C"/>
    <w:rsid w:val="54699112"/>
    <w:rsid w:val="5486E5E8"/>
    <w:rsid w:val="548D1B5A"/>
    <w:rsid w:val="549A1CF4"/>
    <w:rsid w:val="54D28BBA"/>
    <w:rsid w:val="551E3E3D"/>
    <w:rsid w:val="557AB8C3"/>
    <w:rsid w:val="55A566F7"/>
    <w:rsid w:val="55DD2382"/>
    <w:rsid w:val="5662521E"/>
    <w:rsid w:val="5697BA19"/>
    <w:rsid w:val="56CEC7FA"/>
    <w:rsid w:val="570962D3"/>
    <w:rsid w:val="570FB8A9"/>
    <w:rsid w:val="5737B479"/>
    <w:rsid w:val="574494DF"/>
    <w:rsid w:val="5748B314"/>
    <w:rsid w:val="57612C27"/>
    <w:rsid w:val="57635C06"/>
    <w:rsid w:val="576A55EF"/>
    <w:rsid w:val="576C5A1E"/>
    <w:rsid w:val="577A6FF3"/>
    <w:rsid w:val="577D7802"/>
    <w:rsid w:val="57A39615"/>
    <w:rsid w:val="57A5F709"/>
    <w:rsid w:val="57DFAF10"/>
    <w:rsid w:val="57E4B991"/>
    <w:rsid w:val="57EE6D19"/>
    <w:rsid w:val="5822199F"/>
    <w:rsid w:val="585A5891"/>
    <w:rsid w:val="58A257CB"/>
    <w:rsid w:val="58B6E6FE"/>
    <w:rsid w:val="58DC8F88"/>
    <w:rsid w:val="58F8DBB4"/>
    <w:rsid w:val="592D55D2"/>
    <w:rsid w:val="59473951"/>
    <w:rsid w:val="5961D936"/>
    <w:rsid w:val="59636A3F"/>
    <w:rsid w:val="5964D4A7"/>
    <w:rsid w:val="5967038D"/>
    <w:rsid w:val="5968E080"/>
    <w:rsid w:val="596CB00C"/>
    <w:rsid w:val="59B55377"/>
    <w:rsid w:val="5A02F682"/>
    <w:rsid w:val="5A3BC845"/>
    <w:rsid w:val="5A79CB5B"/>
    <w:rsid w:val="5AA2B09B"/>
    <w:rsid w:val="5B00FD98"/>
    <w:rsid w:val="5B1E5210"/>
    <w:rsid w:val="5B4B1E13"/>
    <w:rsid w:val="5B6D68C3"/>
    <w:rsid w:val="5B9B93B5"/>
    <w:rsid w:val="5C0809B0"/>
    <w:rsid w:val="5C173F64"/>
    <w:rsid w:val="5C263D9A"/>
    <w:rsid w:val="5C43DC1A"/>
    <w:rsid w:val="5C7342A3"/>
    <w:rsid w:val="5C7ABCF8"/>
    <w:rsid w:val="5C9D3715"/>
    <w:rsid w:val="5CFB83AF"/>
    <w:rsid w:val="5D1C3C83"/>
    <w:rsid w:val="5D905355"/>
    <w:rsid w:val="5D9A0908"/>
    <w:rsid w:val="5DDF9FB7"/>
    <w:rsid w:val="5DEE7214"/>
    <w:rsid w:val="5DF94C4B"/>
    <w:rsid w:val="5DFE8FF5"/>
    <w:rsid w:val="5E33C72A"/>
    <w:rsid w:val="5E66EC10"/>
    <w:rsid w:val="5E79CA2E"/>
    <w:rsid w:val="5E7B8016"/>
    <w:rsid w:val="5EA22422"/>
    <w:rsid w:val="5F3F9B7A"/>
    <w:rsid w:val="5F53D33D"/>
    <w:rsid w:val="5F8BF1FE"/>
    <w:rsid w:val="5F9106A9"/>
    <w:rsid w:val="6029A273"/>
    <w:rsid w:val="6047330B"/>
    <w:rsid w:val="606CF388"/>
    <w:rsid w:val="607AC377"/>
    <w:rsid w:val="608B4027"/>
    <w:rsid w:val="608EE451"/>
    <w:rsid w:val="609684A7"/>
    <w:rsid w:val="60D4D7A1"/>
    <w:rsid w:val="60D94FD6"/>
    <w:rsid w:val="60E8C463"/>
    <w:rsid w:val="60F1C6C0"/>
    <w:rsid w:val="612D0B6D"/>
    <w:rsid w:val="612FFE71"/>
    <w:rsid w:val="61A384D5"/>
    <w:rsid w:val="61D8D74B"/>
    <w:rsid w:val="61E68CC7"/>
    <w:rsid w:val="6215AC66"/>
    <w:rsid w:val="623FDA7C"/>
    <w:rsid w:val="62516F2D"/>
    <w:rsid w:val="62F7B816"/>
    <w:rsid w:val="63043BA3"/>
    <w:rsid w:val="632A9C89"/>
    <w:rsid w:val="635DBD0F"/>
    <w:rsid w:val="63882C3B"/>
    <w:rsid w:val="63AA262C"/>
    <w:rsid w:val="63B4B520"/>
    <w:rsid w:val="63E1F7F8"/>
    <w:rsid w:val="641685EB"/>
    <w:rsid w:val="641685EB"/>
    <w:rsid w:val="6423308B"/>
    <w:rsid w:val="6459BC23"/>
    <w:rsid w:val="646187FE"/>
    <w:rsid w:val="64668D5A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5BA127"/>
    <w:rsid w:val="656C97FD"/>
    <w:rsid w:val="65A32052"/>
    <w:rsid w:val="65BB8E9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232416"/>
    <w:rsid w:val="673BA8B5"/>
    <w:rsid w:val="679DF78F"/>
    <w:rsid w:val="67A2B251"/>
    <w:rsid w:val="683BACDC"/>
    <w:rsid w:val="68648FF0"/>
    <w:rsid w:val="686CD13B"/>
    <w:rsid w:val="68842219"/>
    <w:rsid w:val="68AA34E6"/>
    <w:rsid w:val="68D15EEA"/>
    <w:rsid w:val="68FC5324"/>
    <w:rsid w:val="6901FE6C"/>
    <w:rsid w:val="692DAA95"/>
    <w:rsid w:val="693DA517"/>
    <w:rsid w:val="6941378F"/>
    <w:rsid w:val="695ADD1C"/>
    <w:rsid w:val="6966B417"/>
    <w:rsid w:val="697E330A"/>
    <w:rsid w:val="698826C7"/>
    <w:rsid w:val="6989C5D7"/>
    <w:rsid w:val="69AD4102"/>
    <w:rsid w:val="69B8F0FD"/>
    <w:rsid w:val="69D437A3"/>
    <w:rsid w:val="69D5D325"/>
    <w:rsid w:val="69DF9F21"/>
    <w:rsid w:val="6A3B9B82"/>
    <w:rsid w:val="6ACF986B"/>
    <w:rsid w:val="6AE80C96"/>
    <w:rsid w:val="6B00AACD"/>
    <w:rsid w:val="6B1221E2"/>
    <w:rsid w:val="6B57935F"/>
    <w:rsid w:val="6B7C09E9"/>
    <w:rsid w:val="6BAAFA4D"/>
    <w:rsid w:val="6BADA167"/>
    <w:rsid w:val="6C070B03"/>
    <w:rsid w:val="6C16D663"/>
    <w:rsid w:val="6C1F2F51"/>
    <w:rsid w:val="6C24F9B7"/>
    <w:rsid w:val="6C5501B8"/>
    <w:rsid w:val="6C8D747F"/>
    <w:rsid w:val="6CA43E9D"/>
    <w:rsid w:val="6CB5C78D"/>
    <w:rsid w:val="6CC538D5"/>
    <w:rsid w:val="6CEE6103"/>
    <w:rsid w:val="6D07DEC7"/>
    <w:rsid w:val="6D57D1B1"/>
    <w:rsid w:val="6D76526B"/>
    <w:rsid w:val="6DA852B4"/>
    <w:rsid w:val="6DD470F2"/>
    <w:rsid w:val="6E32DEE5"/>
    <w:rsid w:val="6E50D50C"/>
    <w:rsid w:val="6E781E73"/>
    <w:rsid w:val="6F05B792"/>
    <w:rsid w:val="6F2C65A7"/>
    <w:rsid w:val="6F879CCF"/>
    <w:rsid w:val="6F9EB3F4"/>
    <w:rsid w:val="706C8CC3"/>
    <w:rsid w:val="70832F2F"/>
    <w:rsid w:val="709C9D4E"/>
    <w:rsid w:val="70AFA880"/>
    <w:rsid w:val="70C36C36"/>
    <w:rsid w:val="70DB68EE"/>
    <w:rsid w:val="70EB2803"/>
    <w:rsid w:val="7144B8D0"/>
    <w:rsid w:val="714940D0"/>
    <w:rsid w:val="714940D0"/>
    <w:rsid w:val="718F5EF0"/>
    <w:rsid w:val="71AF310C"/>
    <w:rsid w:val="71B756C8"/>
    <w:rsid w:val="71CEB674"/>
    <w:rsid w:val="71DAFFC4"/>
    <w:rsid w:val="71F42A31"/>
    <w:rsid w:val="71FF15BD"/>
    <w:rsid w:val="720A472B"/>
    <w:rsid w:val="721F3A0E"/>
    <w:rsid w:val="7232FE0D"/>
    <w:rsid w:val="72350998"/>
    <w:rsid w:val="7292971C"/>
    <w:rsid w:val="72FF4651"/>
    <w:rsid w:val="730B061E"/>
    <w:rsid w:val="7337768D"/>
    <w:rsid w:val="7341983C"/>
    <w:rsid w:val="7345BEAD"/>
    <w:rsid w:val="7368C1E6"/>
    <w:rsid w:val="736C7B74"/>
    <w:rsid w:val="744C65DB"/>
    <w:rsid w:val="74558B27"/>
    <w:rsid w:val="745E002F"/>
    <w:rsid w:val="7495F38F"/>
    <w:rsid w:val="75896997"/>
    <w:rsid w:val="75A45915"/>
    <w:rsid w:val="761DCE74"/>
    <w:rsid w:val="762EC5B4"/>
    <w:rsid w:val="76694153"/>
    <w:rsid w:val="76802939"/>
    <w:rsid w:val="7684E9A7"/>
    <w:rsid w:val="76A04DA1"/>
    <w:rsid w:val="76A2418D"/>
    <w:rsid w:val="76EDFFF2"/>
    <w:rsid w:val="7723C74A"/>
    <w:rsid w:val="7751AA79"/>
    <w:rsid w:val="778EBFA7"/>
    <w:rsid w:val="77ADB599"/>
    <w:rsid w:val="77AF062D"/>
    <w:rsid w:val="77B213F6"/>
    <w:rsid w:val="77D755A1"/>
    <w:rsid w:val="78290071"/>
    <w:rsid w:val="783C5DB8"/>
    <w:rsid w:val="7887BB9F"/>
    <w:rsid w:val="78A68945"/>
    <w:rsid w:val="78E76543"/>
    <w:rsid w:val="7908640A"/>
    <w:rsid w:val="79353693"/>
    <w:rsid w:val="793F2CA6"/>
    <w:rsid w:val="796C153B"/>
    <w:rsid w:val="79752C9B"/>
    <w:rsid w:val="7976875A"/>
    <w:rsid w:val="79975787"/>
    <w:rsid w:val="79BD077B"/>
    <w:rsid w:val="79EE0421"/>
    <w:rsid w:val="79F5D467"/>
    <w:rsid w:val="7A0D6885"/>
    <w:rsid w:val="7A55A0B2"/>
    <w:rsid w:val="7A67C5CA"/>
    <w:rsid w:val="7A83F8A4"/>
    <w:rsid w:val="7AB5BF63"/>
    <w:rsid w:val="7AD44C83"/>
    <w:rsid w:val="7B078C23"/>
    <w:rsid w:val="7B088D2B"/>
    <w:rsid w:val="7B2A7DDB"/>
    <w:rsid w:val="7B4E0730"/>
    <w:rsid w:val="7B694DDB"/>
    <w:rsid w:val="7BA57772"/>
    <w:rsid w:val="7BFE1E19"/>
    <w:rsid w:val="7C9EB5F5"/>
    <w:rsid w:val="7C9EC1CA"/>
    <w:rsid w:val="7CC2E68F"/>
    <w:rsid w:val="7CDFE2CB"/>
    <w:rsid w:val="7CE8CD7F"/>
    <w:rsid w:val="7CEAB1B1"/>
    <w:rsid w:val="7CEE0E5A"/>
    <w:rsid w:val="7CEFA466"/>
    <w:rsid w:val="7CF87C79"/>
    <w:rsid w:val="7D0CBC58"/>
    <w:rsid w:val="7D239AD0"/>
    <w:rsid w:val="7D3D7492"/>
    <w:rsid w:val="7D4E8C0F"/>
    <w:rsid w:val="7D6A0F10"/>
    <w:rsid w:val="7D6CE32F"/>
    <w:rsid w:val="7D9A6337"/>
    <w:rsid w:val="7DB5990C"/>
    <w:rsid w:val="7DE30232"/>
    <w:rsid w:val="7DFC37AF"/>
    <w:rsid w:val="7DFC5076"/>
    <w:rsid w:val="7E0B02D0"/>
    <w:rsid w:val="7E12298D"/>
    <w:rsid w:val="7E5E40D1"/>
    <w:rsid w:val="7E88896F"/>
    <w:rsid w:val="7F0BC65E"/>
    <w:rsid w:val="7F0DDC52"/>
    <w:rsid w:val="7F294C54"/>
    <w:rsid w:val="7F43A19B"/>
    <w:rsid w:val="7F876C5F"/>
    <w:rsid w:val="7FC9EABE"/>
    <w:rsid w:val="7FD79B6B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CD7CB-489C-46FA-BBC8-4BB000CBACBE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2025-12-23T01:23:58.4642116Z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