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before="0" w:after="0"/>
        <w:rPr>
          <w:rFonts w:ascii="Arial" w:hAnsi="Arial" w:eastAsia="Arial" w:cs="Arial"/>
          <w:color w:val="000000"/>
          <w:sz w:val="2"/>
          <w:szCs w:val="2"/>
        </w:rPr>
      </w:pPr>
      <w:r>
        <w:rPr/>
      </w:r>
    </w:p>
    <w:tbl>
      <w:tblPr>
        <w:tblStyle w:val="a"/>
        <w:tblW w:w="97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794"/>
      </w:tblGrid>
      <w:tr>
        <w:trPr>
          <w:trHeight w:val="286" w:hRule="atLeast"/>
          <w:cnfStyle w:val="100000000000" w:firstRow="1" w:lastRow="0" w:firstColumn="0" w:lastColumn="0" w:oddVBand="0" w:evenVBand="0" w:oddHBand="0" w:evenHBand="0" w:firstRowFirstColumn="0" w:firstRowLastColumn="0" w:lastRowFirstColumn="0" w:lastRowLastColumn="0"/>
        </w:trPr>
        <w:tc>
          <w:tcPr>
            <w:tcW w:w="9794"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shd w:color="auto" w:fill="auto" w:val="clear"/>
          </w:tcPr>
          <w:p>
            <w:pPr>
              <w:pStyle w:val="Normal"/>
              <w:widowControl w:val="false"/>
              <w:spacing w:before="0" w:after="200"/>
              <w:jc w:val="right"/>
              <w:rPr>
                <w:b/>
                <w:b/>
                <w:bCs/>
              </w:rPr>
            </w:pPr>
            <w:r>
              <w:rPr>
                <w:rFonts w:eastAsia="Arial" w:cs="Arial" w:ascii="Arial" w:hAnsi="Arial"/>
                <w:b/>
                <w:bCs/>
                <w:color w:val="EF782D"/>
                <w:sz w:val="36"/>
                <w:szCs w:val="36"/>
              </w:rPr>
              <w:t>HELLO IGUAZÚ</w:t>
            </w:r>
          </w:p>
        </w:tc>
      </w:tr>
    </w:tbl>
    <w:tbl>
      <w:tblPr>
        <w:tblStyle w:val="a0"/>
        <w:tblW w:w="977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771"/>
      </w:tblGrid>
      <w:tr>
        <w:trPr>
          <w:trHeight w:val="675" w:hRule="atLeast"/>
          <w:cnfStyle w:val="100000000000" w:firstRow="1" w:lastRow="0" w:firstColumn="0" w:lastColumn="0" w:oddVBand="0" w:evenVBand="0" w:oddHBand="0" w:evenHBand="0" w:firstRowFirstColumn="0" w:firstRowLastColumn="0" w:lastRowFirstColumn="0" w:lastRowLastColumn="0"/>
        </w:trPr>
        <w:tc>
          <w:tcPr>
            <w:tcW w:w="9771" w:type="dxa"/>
            <w:cnfStyle w:val="001000000000" w:firstRow="0" w:lastRow="0" w:firstColumn="1" w:lastColumn="0" w:oddVBand="0" w:evenVBand="0" w:oddHBand="0" w:evenHBand="0" w:firstRowFirstColumn="0" w:firstRowLastColumn="0" w:lastRowFirstColumn="0" w:lastRowLastColumn="0"/>
            <w:tcBorders>
              <w:top w:val="single" w:sz="8" w:space="0" w:color="F79646"/>
              <w:left w:val="single" w:sz="8" w:space="0" w:color="F79646"/>
              <w:bottom w:val="single" w:sz="8" w:space="0" w:color="F79646"/>
              <w:right w:val="single" w:sz="8" w:space="0" w:color="F79646"/>
            </w:tcBorders>
            <w:shd w:color="auto" w:fill="FDE9D9" w:themeFill="accent6" w:themeFillTint="33" w:val="clear"/>
          </w:tcPr>
          <w:p>
            <w:pPr>
              <w:pStyle w:val="Normal"/>
              <w:widowControl w:val="false"/>
              <w:spacing w:lineRule="auto" w:line="240" w:before="0" w:afterAutospacing="0" w:after="0"/>
              <w:ind w:left="1410" w:hanging="1410"/>
              <w:jc w:val="both"/>
              <w:rPr>
                <w:b/>
                <w:b/>
                <w:bCs/>
              </w:rPr>
            </w:pPr>
            <w:r>
              <w:rPr>
                <w:rFonts w:eastAsia="Arial" w:cs="Arial" w:ascii="Arial" w:hAnsi="Arial"/>
                <w:b/>
                <w:bCs/>
                <w:color w:val="EF782D"/>
                <w:sz w:val="18"/>
                <w:szCs w:val="18"/>
              </w:rPr>
              <w:t>Visitando</w:t>
            </w:r>
            <w:r>
              <w:rPr>
                <w:rFonts w:eastAsia="Arial" w:cs="Arial" w:ascii="Arial" w:hAnsi="Arial"/>
                <w:b/>
                <w:bCs/>
                <w:color w:val="E36C09"/>
                <w:sz w:val="18"/>
                <w:szCs w:val="18"/>
              </w:rPr>
              <w:t>:</w:t>
            </w:r>
            <w:r>
              <w:rPr>
                <w:b/>
                <w:bCs/>
              </w:rPr>
              <w:tab/>
            </w:r>
            <w:r>
              <w:rPr>
                <w:rFonts w:eastAsia="Arial" w:cs="Arial" w:ascii="Arial" w:hAnsi="Arial"/>
                <w:b/>
                <w:bCs/>
                <w:sz w:val="18"/>
                <w:szCs w:val="18"/>
              </w:rPr>
              <w:t>Iguazú</w:t>
            </w:r>
          </w:p>
          <w:p>
            <w:pPr>
              <w:pStyle w:val="Normal"/>
              <w:widowControl w:val="false"/>
              <w:spacing w:lineRule="auto" w:line="240" w:before="0" w:afterAutospacing="0" w:after="0"/>
              <w:ind w:left="1410" w:hanging="1410"/>
              <w:jc w:val="both"/>
              <w:rPr>
                <w:b/>
                <w:b/>
                <w:bCs/>
              </w:rPr>
            </w:pPr>
            <w:r>
              <w:rPr>
                <w:rFonts w:eastAsia="Arial" w:cs="Arial" w:ascii="Arial" w:hAnsi="Arial"/>
                <w:b/>
                <w:bCs/>
                <w:color w:val="E36C09"/>
                <w:sz w:val="18"/>
                <w:szCs w:val="18"/>
              </w:rPr>
              <w:t>Salidas:</w:t>
            </w:r>
            <w:r>
              <w:rPr>
                <w:b/>
                <w:bCs/>
              </w:rPr>
              <w:tab/>
            </w:r>
            <w:r>
              <w:rPr>
                <w:rFonts w:eastAsia="Arial" w:cs="Arial" w:ascii="Arial" w:hAnsi="Arial"/>
                <w:b/>
                <w:bCs/>
                <w:sz w:val="18"/>
                <w:szCs w:val="18"/>
              </w:rPr>
              <w:t>Diarias del 08 de enero al 19 de marzo 2025</w:t>
            </w:r>
          </w:p>
          <w:p>
            <w:pPr>
              <w:pStyle w:val="Normal"/>
              <w:widowControl w:val="false"/>
              <w:spacing w:lineRule="auto" w:line="240" w:before="0" w:afterAutospacing="0" w:after="0"/>
              <w:ind w:left="1410" w:hanging="1410"/>
              <w:jc w:val="both"/>
              <w:rPr>
                <w:b/>
                <w:b/>
                <w:bCs/>
              </w:rPr>
            </w:pPr>
            <w:r>
              <w:rPr>
                <w:rFonts w:cs="Arial" w:ascii="Arial" w:hAnsi="Arial"/>
                <w:b/>
                <w:bCs/>
                <w:color w:val="FF0000"/>
                <w:sz w:val="18"/>
                <w:szCs w:val="18"/>
              </w:rPr>
              <w:t xml:space="preserve">                            </w:t>
            </w:r>
            <w:r>
              <w:rPr>
                <w:rFonts w:cs="Arial" w:ascii="Arial" w:hAnsi="Arial"/>
                <w:b/>
                <w:bCs/>
                <w:color w:val="FF0000"/>
                <w:sz w:val="18"/>
                <w:szCs w:val="18"/>
              </w:rPr>
              <w:t xml:space="preserve">**Opera mínimo con 2 personas viajando juntas. </w:t>
            </w:r>
          </w:p>
          <w:p>
            <w:pPr>
              <w:pStyle w:val="Normal"/>
              <w:widowControl w:val="false"/>
              <w:spacing w:lineRule="auto" w:line="240" w:before="0" w:afterAutospacing="0" w:after="0"/>
              <w:ind w:left="1410" w:hanging="1410"/>
              <w:jc w:val="both"/>
              <w:rPr>
                <w:b/>
                <w:b/>
                <w:bCs/>
              </w:rPr>
            </w:pPr>
            <w:r>
              <w:rPr>
                <w:rFonts w:cs="Arial" w:ascii="Arial" w:hAnsi="Arial"/>
                <w:b/>
                <w:bCs/>
                <w:color w:val="FF0000"/>
                <w:sz w:val="18"/>
                <w:szCs w:val="18"/>
              </w:rPr>
              <w:t xml:space="preserve">                            </w:t>
            </w:r>
            <w:r>
              <w:rPr>
                <w:rFonts w:cs="Arial" w:ascii="Arial" w:hAnsi="Arial"/>
                <w:b/>
                <w:bCs/>
                <w:color w:val="FF0000"/>
                <w:sz w:val="18"/>
                <w:szCs w:val="18"/>
              </w:rPr>
              <w:t>*PVS: Tarifa para Pasajero Viajando Solo, consultar suplementos</w:t>
            </w:r>
          </w:p>
          <w:p>
            <w:pPr>
              <w:pStyle w:val="Normal"/>
              <w:widowControl w:val="false"/>
              <w:spacing w:lineRule="auto" w:line="240" w:before="0" w:afterAutospacing="0" w:after="0"/>
              <w:ind w:left="1410" w:hanging="1410"/>
              <w:jc w:val="both"/>
              <w:rPr>
                <w:b/>
                <w:b/>
                <w:bCs/>
              </w:rPr>
            </w:pPr>
            <w:r>
              <w:rPr>
                <w:rFonts w:eastAsia="Arial" w:cs="Arial" w:ascii="Arial" w:hAnsi="Arial"/>
                <w:b/>
                <w:bCs/>
                <w:color w:val="E36C09"/>
                <w:sz w:val="18"/>
                <w:szCs w:val="18"/>
              </w:rPr>
              <w:t>Duración:</w:t>
            </w:r>
            <w:r>
              <w:rPr>
                <w:b/>
                <w:bCs/>
              </w:rPr>
              <w:tab/>
            </w:r>
            <w:r>
              <w:rPr>
                <w:rFonts w:eastAsia="Arial" w:cs="Arial" w:ascii="Arial" w:hAnsi="Arial"/>
                <w:b/>
                <w:bCs/>
                <w:sz w:val="18"/>
                <w:szCs w:val="18"/>
              </w:rPr>
              <w:t>04 días / 03 noches</w:t>
            </w:r>
          </w:p>
          <w:p>
            <w:pPr>
              <w:pStyle w:val="Normal"/>
              <w:widowControl w:val="false"/>
              <w:spacing w:lineRule="auto" w:line="240" w:before="0" w:afterAutospacing="0" w:after="0"/>
              <w:ind w:left="1410" w:hanging="1410"/>
              <w:jc w:val="both"/>
              <w:rPr>
                <w:b/>
                <w:b/>
                <w:bCs/>
              </w:rPr>
            </w:pPr>
            <w:r>
              <w:rPr>
                <w:rFonts w:eastAsia="Arial" w:cs="Arial" w:ascii="Arial" w:hAnsi="Arial"/>
                <w:b/>
                <w:bCs/>
                <w:color w:val="E36C09"/>
                <w:sz w:val="18"/>
                <w:szCs w:val="18"/>
              </w:rPr>
              <w:t xml:space="preserve">Alimentos:         </w:t>
            </w:r>
            <w:r>
              <w:rPr>
                <w:rFonts w:eastAsia="Arial" w:cs="Arial" w:ascii="Arial" w:hAnsi="Arial"/>
                <w:b/>
                <w:bCs/>
                <w:color w:val="000000" w:themeColor="text1" w:themeShade="ff" w:themeTint="ff"/>
                <w:sz w:val="18"/>
                <w:szCs w:val="18"/>
              </w:rPr>
              <w:t>0</w:t>
            </w:r>
            <w:r>
              <w:rPr>
                <w:rFonts w:eastAsia="Arial" w:cs="Arial" w:ascii="Arial" w:hAnsi="Arial"/>
                <w:b/>
                <w:bCs/>
                <w:sz w:val="18"/>
                <w:szCs w:val="18"/>
              </w:rPr>
              <w:t xml:space="preserve">3 desayunos </w:t>
            </w:r>
          </w:p>
        </w:tc>
      </w:tr>
    </w:tbl>
    <w:p>
      <w:pPr>
        <w:pStyle w:val="Normal"/>
        <w:spacing w:lineRule="auto" w:line="240" w:before="0" w:after="0"/>
        <w:jc w:val="center"/>
        <w:rPr>
          <w:rFonts w:ascii="Arial" w:hAnsi="Arial" w:eastAsia="Arial" w:cs="Arial"/>
          <w:b/>
          <w:b/>
          <w:bCs/>
          <w:color w:val="E36C09"/>
          <w:sz w:val="18"/>
          <w:szCs w:val="18"/>
          <w:u w:val="single"/>
        </w:rPr>
      </w:pPr>
      <w:r>
        <w:rPr/>
        <w:drawing>
          <wp:inline distT="0" distB="0" distL="0" distR="0">
            <wp:extent cx="6188710" cy="164401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0" r="0" b="20291"/>
                    <a:stretch>
                      <a:fillRect/>
                    </a:stretch>
                  </pic:blipFill>
                  <pic:spPr bwMode="auto">
                    <a:xfrm>
                      <a:off x="0" y="0"/>
                      <a:ext cx="6188710" cy="1644015"/>
                    </a:xfrm>
                    <a:prstGeom prst="rect">
                      <a:avLst/>
                    </a:prstGeom>
                  </pic:spPr>
                </pic:pic>
              </a:graphicData>
            </a:graphic>
          </wp:inline>
        </w:drawing>
      </w:r>
      <w:r>
        <w:rPr>
          <w:rFonts w:eastAsia="Arial" w:cs="Arial" w:ascii="Arial" w:hAnsi="Arial"/>
          <w:b/>
          <w:bCs/>
          <w:color w:val="E36C09"/>
          <w:sz w:val="18"/>
          <w:szCs w:val="18"/>
          <w:u w:val="single"/>
        </w:rPr>
        <w:t>ITINERARIO DE VIAJE:</w:t>
      </w:r>
    </w:p>
    <w:p>
      <w:pPr>
        <w:pStyle w:val="Normal"/>
        <w:spacing w:lineRule="auto" w:line="240" w:before="0" w:after="0"/>
        <w:jc w:val="both"/>
        <w:rPr>
          <w:rFonts w:ascii="Arial" w:hAnsi="Arial" w:eastAsia="Arial" w:cs="Arial"/>
          <w:sz w:val="14"/>
          <w:szCs w:val="14"/>
        </w:rPr>
      </w:pPr>
      <w:r>
        <w:rPr>
          <w:rFonts w:eastAsia="Arial" w:cs="Arial" w:ascii="Arial" w:hAnsi="Arial"/>
          <w:sz w:val="14"/>
          <w:szCs w:val="14"/>
        </w:rPr>
      </w:r>
    </w:p>
    <w:p>
      <w:pPr>
        <w:pStyle w:val="Normal"/>
        <w:spacing w:lineRule="auto" w:line="240" w:before="0" w:after="0"/>
        <w:jc w:val="both"/>
        <w:rPr>
          <w:rFonts w:ascii="Arial" w:hAnsi="Arial" w:eastAsia="Arial" w:cs="Arial"/>
          <w:b/>
          <w:b/>
          <w:color w:val="E36C09"/>
          <w:sz w:val="18"/>
          <w:szCs w:val="18"/>
        </w:rPr>
      </w:pPr>
      <w:r>
        <w:rPr>
          <w:rFonts w:eastAsia="Arial" w:cs="Arial" w:ascii="Arial" w:hAnsi="Arial"/>
          <w:b/>
          <w:color w:val="E36C09"/>
          <w:sz w:val="18"/>
          <w:szCs w:val="18"/>
        </w:rPr>
        <w:t>Día 1</w:t>
        <w:tab/>
        <w:t>Iguazú (excursión Cataratas lado brasileño)</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t>Llegada al aeropuerto. Recepción y traslado al hotel. Llegada a Puerto Iguazú. Traslado al Hotel. Por la tarde, excursión al Lado Brasilero de las cataratas. El tour visita el Parque Nacional de Foz do Iguazú, ubicado a 24 kilómetros de Foz do Iguazú, del Lado Brasilero, y el cual alberga las Cataratas Brasileras. Dentro del parque, transitarán en un bus ecológico que los llevará hasta las cataratas. Recorrerán las pasarelas para apreciar las vistas panorámicas de los principales saltos, y podrán acceder a un punto panorámico, a través de escaleras o bien tomando un elevador. Finalmente, regresarán al Hotel. Alojamiento.</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r>
    </w:p>
    <w:p>
      <w:pPr>
        <w:pStyle w:val="Normal"/>
        <w:spacing w:lineRule="auto" w:line="240" w:before="0" w:after="0"/>
        <w:jc w:val="both"/>
        <w:rPr>
          <w:rFonts w:ascii="Arial" w:hAnsi="Arial" w:eastAsia="Arial" w:cs="Arial"/>
          <w:b/>
          <w:b/>
          <w:color w:val="E36C09"/>
          <w:sz w:val="18"/>
          <w:szCs w:val="18"/>
        </w:rPr>
      </w:pPr>
      <w:r>
        <w:rPr>
          <w:rFonts w:eastAsia="Arial" w:cs="Arial" w:ascii="Arial" w:hAnsi="Arial"/>
          <w:b/>
          <w:color w:val="E36C09"/>
          <w:sz w:val="18"/>
          <w:szCs w:val="18"/>
        </w:rPr>
        <w:t xml:space="preserve">Día 2 </w:t>
        <w:tab/>
        <w:t>Iguazú (excursión Cataratas lado argentino)</w:t>
      </w:r>
    </w:p>
    <w:p>
      <w:pPr>
        <w:pStyle w:val="Normal"/>
        <w:spacing w:lineRule="auto" w:line="240" w:before="0" w:after="0"/>
        <w:jc w:val="both"/>
        <w:rPr>
          <w:rFonts w:ascii="Arial" w:hAnsi="Arial" w:eastAsia="Arial" w:cs="Arial"/>
          <w:sz w:val="18"/>
          <w:szCs w:val="18"/>
        </w:rPr>
      </w:pPr>
      <w:r>
        <w:rPr>
          <w:rFonts w:eastAsia="Arial" w:cs="Arial" w:ascii="Arial" w:hAnsi="Arial"/>
          <w:b/>
          <w:i/>
          <w:sz w:val="18"/>
          <w:szCs w:val="18"/>
          <w:u w:val="single"/>
        </w:rPr>
        <w:t>Desayuno</w:t>
      </w:r>
      <w:r>
        <w:rPr>
          <w:rFonts w:eastAsia="Arial" w:cs="Arial" w:ascii="Arial" w:hAnsi="Arial"/>
          <w:sz w:val="18"/>
          <w:szCs w:val="18"/>
        </w:rPr>
        <w:t>. Por la mañana, excursión al Lado Argentino de las cataratas. El tour visita el Parque Nacional Cataratas del Iguazú, del Lado Argentino. Apreciarán la impresionante belleza paisajística de las cataratas, junto con su variada y abundante vida animal y el interés botánico que encierran, que han convertido a este paraje en una de las 7 Maravillas del Mundo. Podrán recorrer el área desde el pie de los saltos, a través de lo que se denomina Circuito Inferior, o bien a través del Circuito Superior; accediendo a ambos desde el Centro de Visitantes en un tren ecológico, o bien a través de un sendero verde. Finalmente, regresaran al hotel. Alojamiento.</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r>
    </w:p>
    <w:p>
      <w:pPr>
        <w:pStyle w:val="Normal"/>
        <w:spacing w:lineRule="auto" w:line="240" w:before="0" w:after="0"/>
        <w:jc w:val="both"/>
        <w:rPr>
          <w:rFonts w:ascii="Arial" w:hAnsi="Arial" w:eastAsia="Arial" w:cs="Arial"/>
          <w:b/>
          <w:b/>
          <w:color w:val="E36C09"/>
          <w:sz w:val="18"/>
          <w:szCs w:val="18"/>
        </w:rPr>
      </w:pPr>
      <w:r>
        <w:rPr>
          <w:rFonts w:eastAsia="Arial" w:cs="Arial" w:ascii="Arial" w:hAnsi="Arial"/>
          <w:b/>
          <w:color w:val="E36C09"/>
          <w:sz w:val="18"/>
          <w:szCs w:val="18"/>
        </w:rPr>
        <w:t xml:space="preserve">Día 3 </w:t>
        <w:tab/>
        <w:t>Iguazú</w:t>
      </w:r>
    </w:p>
    <w:p>
      <w:pPr>
        <w:pStyle w:val="Normal"/>
        <w:spacing w:lineRule="auto" w:line="240" w:before="0" w:after="0"/>
        <w:jc w:val="both"/>
        <w:rPr>
          <w:rFonts w:ascii="Arial" w:hAnsi="Arial" w:eastAsia="Arial" w:cs="Arial"/>
          <w:sz w:val="18"/>
          <w:szCs w:val="18"/>
        </w:rPr>
      </w:pPr>
      <w:r>
        <w:rPr>
          <w:rFonts w:eastAsia="Arial" w:cs="Arial" w:ascii="Arial" w:hAnsi="Arial"/>
          <w:b/>
          <w:i/>
          <w:sz w:val="18"/>
          <w:szCs w:val="18"/>
          <w:u w:val="single"/>
        </w:rPr>
        <w:t>Desayuno</w:t>
      </w:r>
      <w:r>
        <w:rPr>
          <w:rFonts w:eastAsia="Arial" w:cs="Arial" w:ascii="Arial" w:hAnsi="Arial"/>
          <w:b/>
          <w:i/>
          <w:sz w:val="18"/>
          <w:szCs w:val="18"/>
        </w:rPr>
        <w:t>.</w:t>
      </w:r>
      <w:r>
        <w:rPr>
          <w:rFonts w:eastAsia="Arial" w:cs="Arial" w:ascii="Arial" w:hAnsi="Arial"/>
          <w:sz w:val="18"/>
          <w:szCs w:val="18"/>
        </w:rPr>
        <w:t xml:space="preserve"> Día libre para compras o excursiones opcionales. Alojamiento.</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r>
    </w:p>
    <w:p>
      <w:pPr>
        <w:pStyle w:val="Normal"/>
        <w:spacing w:lineRule="auto" w:line="240" w:before="0" w:after="0"/>
        <w:jc w:val="both"/>
        <w:rPr>
          <w:rFonts w:ascii="Arial" w:hAnsi="Arial" w:eastAsia="Arial" w:cs="Arial"/>
          <w:b/>
          <w:b/>
          <w:color w:val="E36C09"/>
          <w:sz w:val="18"/>
          <w:szCs w:val="18"/>
        </w:rPr>
      </w:pPr>
      <w:r>
        <w:rPr>
          <w:rFonts w:eastAsia="Arial" w:cs="Arial" w:ascii="Arial" w:hAnsi="Arial"/>
          <w:b/>
          <w:color w:val="E36C09"/>
          <w:sz w:val="18"/>
          <w:szCs w:val="18"/>
        </w:rPr>
        <w:t xml:space="preserve">Día 4 </w:t>
        <w:tab/>
        <w:t>Iguazú</w:t>
      </w:r>
    </w:p>
    <w:p>
      <w:pPr>
        <w:pStyle w:val="Normal"/>
        <w:spacing w:lineRule="auto" w:line="240" w:before="0" w:after="0"/>
        <w:jc w:val="both"/>
        <w:rPr>
          <w:rFonts w:ascii="Arial" w:hAnsi="Arial" w:eastAsia="Arial" w:cs="Arial"/>
          <w:sz w:val="18"/>
          <w:szCs w:val="18"/>
        </w:rPr>
      </w:pPr>
      <w:r>
        <w:rPr>
          <w:rFonts w:eastAsia="Arial" w:cs="Arial" w:ascii="Arial" w:hAnsi="Arial"/>
          <w:b/>
          <w:i/>
          <w:sz w:val="18"/>
          <w:szCs w:val="18"/>
          <w:u w:val="single"/>
        </w:rPr>
        <w:t>Desayuno</w:t>
      </w:r>
      <w:r>
        <w:rPr>
          <w:rFonts w:eastAsia="Arial" w:cs="Arial" w:ascii="Arial" w:hAnsi="Arial"/>
          <w:b/>
          <w:i/>
          <w:sz w:val="18"/>
          <w:szCs w:val="18"/>
        </w:rPr>
        <w:t>.</w:t>
      </w:r>
      <w:r>
        <w:rPr>
          <w:rFonts w:eastAsia="Arial" w:cs="Arial" w:ascii="Arial" w:hAnsi="Arial"/>
          <w:sz w:val="18"/>
          <w:szCs w:val="18"/>
        </w:rPr>
        <w:t xml:space="preserve"> A la hora programas traslado al aeropuerto para tomar su vuelo de salida.</w:t>
      </w:r>
    </w:p>
    <w:p>
      <w:pPr>
        <w:pStyle w:val="Normal"/>
        <w:spacing w:lineRule="auto" w:line="240" w:before="0" w:after="0"/>
        <w:rPr>
          <w:rFonts w:ascii="Arial" w:hAnsi="Arial" w:eastAsia="Arial" w:cs="Arial"/>
          <w:b/>
          <w:b/>
          <w:color w:val="000000"/>
          <w:sz w:val="18"/>
          <w:szCs w:val="18"/>
        </w:rPr>
      </w:pPr>
      <w:r>
        <w:rPr>
          <w:rFonts w:eastAsia="Arial" w:cs="Arial" w:ascii="Arial" w:hAnsi="Arial"/>
          <w:b/>
          <w:color w:val="000000"/>
          <w:sz w:val="18"/>
          <w:szCs w:val="18"/>
        </w:rPr>
      </w:r>
    </w:p>
    <w:p>
      <w:pPr>
        <w:pStyle w:val="Normal"/>
        <w:spacing w:lineRule="auto" w:line="240" w:before="0" w:after="0"/>
        <w:jc w:val="right"/>
        <w:rPr>
          <w:rFonts w:ascii="Arial" w:hAnsi="Arial" w:eastAsia="Arial" w:cs="Arial"/>
          <w:color w:val="E36C09"/>
          <w:sz w:val="18"/>
          <w:szCs w:val="18"/>
        </w:rPr>
      </w:pPr>
      <w:r>
        <w:rPr>
          <w:rFonts w:eastAsia="Arial" w:cs="Arial" w:ascii="Arial" w:hAnsi="Arial"/>
          <w:b/>
          <w:color w:val="E36C09"/>
          <w:sz w:val="18"/>
          <w:szCs w:val="18"/>
        </w:rPr>
        <w:t>FIN DE LOS SERVICIOS</w:t>
      </w:r>
      <w:r>
        <w:rPr>
          <w:rFonts w:eastAsia="Arial" w:cs="Arial" w:ascii="Arial" w:hAnsi="Arial"/>
          <w:color w:val="E36C09"/>
          <w:sz w:val="18"/>
          <w:szCs w:val="18"/>
        </w:rPr>
        <w:t>.</w:t>
      </w:r>
    </w:p>
    <w:p>
      <w:pPr>
        <w:pStyle w:val="Normal"/>
        <w:spacing w:lineRule="auto" w:line="240" w:before="0" w:after="0"/>
        <w:jc w:val="right"/>
        <w:rPr>
          <w:rFonts w:ascii="Arial" w:hAnsi="Arial" w:eastAsia="Arial" w:cs="Arial"/>
          <w:color w:val="000000"/>
          <w:sz w:val="18"/>
          <w:szCs w:val="18"/>
        </w:rPr>
      </w:pPr>
      <w:r>
        <w:rPr>
          <w:rFonts w:eastAsia="Arial" w:cs="Arial" w:ascii="Arial" w:hAnsi="Arial"/>
          <w:color w:val="000000"/>
          <w:sz w:val="18"/>
          <w:szCs w:val="18"/>
        </w:rPr>
      </w:r>
    </w:p>
    <w:p>
      <w:pPr>
        <w:pStyle w:val="Normal"/>
        <w:spacing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Tablaconcuadrcula"/>
        <w:tblW w:w="49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43"/>
        <w:gridCol w:w="2851"/>
      </w:tblGrid>
      <w:tr>
        <w:trPr>
          <w:trHeight w:val="311" w:hRule="atLeast"/>
        </w:trPr>
        <w:tc>
          <w:tcPr>
            <w:tcW w:w="2143"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bookmarkStart w:id="0" w:name="_Hlk155346810"/>
            <w:r>
              <w:rPr>
                <w:rFonts w:eastAsia="Times New Roman" w:cs="Arial" w:ascii="Arial" w:hAnsi="Arial"/>
                <w:b/>
                <w:color w:val="FFFFFF" w:themeColor="background1"/>
                <w:kern w:val="0"/>
                <w:sz w:val="18"/>
                <w:szCs w:val="18"/>
                <w:lang w:val="es-ES_tradnl" w:eastAsia="es-ES" w:bidi="ar-SA"/>
              </w:rPr>
              <w:t>CATEGORÍA</w:t>
            </w:r>
          </w:p>
        </w:tc>
        <w:tc>
          <w:tcPr>
            <w:tcW w:w="2851"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IGUAZÚ</w:t>
            </w:r>
          </w:p>
        </w:tc>
      </w:tr>
      <w:tr>
        <w:trPr>
          <w:trHeight w:val="311" w:hRule="atLeast"/>
        </w:trPr>
        <w:tc>
          <w:tcPr>
            <w:tcW w:w="2143"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28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Los Helechos | Hotel Merit</w:t>
            </w:r>
          </w:p>
        </w:tc>
      </w:tr>
      <w:tr>
        <w:trPr>
          <w:trHeight w:val="311" w:hRule="atLeast"/>
        </w:trPr>
        <w:tc>
          <w:tcPr>
            <w:tcW w:w="2143"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28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Mercure Iguazu | Hotel American</w:t>
            </w:r>
          </w:p>
        </w:tc>
      </w:tr>
      <w:tr>
        <w:trPr>
          <w:trHeight w:val="311" w:hRule="atLeast"/>
        </w:trPr>
        <w:tc>
          <w:tcPr>
            <w:tcW w:w="2143"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Superior</w:t>
            </w:r>
          </w:p>
        </w:tc>
        <w:tc>
          <w:tcPr>
            <w:tcW w:w="28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bookmarkStart w:id="1" w:name="_Hlk155346810"/>
            <w:r>
              <w:rPr>
                <w:rFonts w:eastAsia="Times New Roman" w:cs="Arial" w:ascii="Arial" w:hAnsi="Arial"/>
                <w:color w:val="000000" w:themeColor="text1" w:themeShade="ff" w:themeTint="ff"/>
                <w:kern w:val="0"/>
                <w:sz w:val="18"/>
                <w:szCs w:val="18"/>
                <w:lang w:val="es-ES" w:eastAsia="es-ES" w:bidi="ar-SA"/>
              </w:rPr>
              <w:t>Loi Suites Iguazu | Panoramic</w:t>
            </w:r>
            <w:bookmarkEnd w:id="1"/>
          </w:p>
        </w:tc>
      </w:tr>
    </w:tbl>
    <w:p>
      <w:pPr>
        <w:pStyle w:val="Normal"/>
        <w:spacing w:lineRule="auto" w:line="240" w:before="0" w:after="0"/>
        <w:rPr>
          <w:rFonts w:ascii="Arial" w:hAnsi="Arial" w:cs="Arial"/>
          <w:b/>
          <w:b/>
          <w:bCs/>
          <w:i/>
          <w:i/>
          <w:iCs/>
          <w:sz w:val="18"/>
          <w:szCs w:val="18"/>
        </w:rPr>
      </w:pPr>
      <w:r>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t xml:space="preserve">Nota: Hoteles mencionados solo son informativos, los hoteles confirmados se les hará saber al momento de realizar la reservación. </w:t>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t xml:space="preserve">Nos reservamos el derecho de cambio de hotel, respetando siempre la misma categoría </w:t>
      </w:r>
    </w:p>
    <w:p>
      <w:pPr>
        <w:pStyle w:val="Normal"/>
        <w:spacing w:lineRule="auto" w:line="240" w:before="0" w:after="0"/>
        <w:rPr/>
      </w:pPr>
      <w:r>
        <w:rPr>
          <w:rFonts w:cs="Arial" w:ascii="Arial" w:hAnsi="Arial"/>
          <w:b/>
          <w:bCs/>
          <w:i/>
          <w:iCs/>
          <w:sz w:val="18"/>
          <w:szCs w:val="18"/>
        </w:rPr>
        <w:t>Todas las habitaciones son estándar, consulte a su ejecutivo para cambio de habitación</w:t>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
      <w:r>
        <w:br w:type="page"/>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935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8"/>
        <w:gridCol w:w="1219"/>
        <w:gridCol w:w="1191"/>
        <w:gridCol w:w="1275"/>
        <w:gridCol w:w="1276"/>
        <w:gridCol w:w="1275"/>
        <w:gridCol w:w="1276"/>
      </w:tblGrid>
      <w:tr>
        <w:trPr>
          <w:trHeight w:val="340" w:hRule="atLeast"/>
        </w:trPr>
        <w:tc>
          <w:tcPr>
            <w:tcW w:w="1838"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219"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191"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7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02 -10 AÑOS</w:t>
            </w:r>
          </w:p>
        </w:tc>
        <w:tc>
          <w:tcPr>
            <w:tcW w:w="1276" w:type="dxa"/>
            <w:tcBorders>
              <w:bottom w:val="single" w:sz="4" w:space="0" w:color="E26B0A"/>
              <w:right w:val="single" w:sz="4" w:space="0" w:color="E26B0A"/>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19" w:type="dxa"/>
            <w:vMerge w:val="restart"/>
            <w:tcBorders>
              <w:top w:val="single" w:sz="4" w:space="0" w:color="DE6F00"/>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191"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595</w:t>
            </w:r>
          </w:p>
        </w:tc>
        <w:tc>
          <w:tcPr>
            <w:tcW w:w="1275"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419</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416</w:t>
            </w:r>
          </w:p>
        </w:tc>
        <w:tc>
          <w:tcPr>
            <w:tcW w:w="1275"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416</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705</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19" w:type="dxa"/>
            <w:vMerge w:val="continue"/>
            <w:tcBorders>
              <w:top w:val="single" w:sz="4" w:space="0" w:color="DE6F00"/>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630</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447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441</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441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737</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19"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847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545</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513</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513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957</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19"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902</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583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544</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544</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1,009</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19" w:type="dxa"/>
            <w:vMerge w:val="restart"/>
            <w:tcBorders>
              <w:left w:val="single" w:sz="4" w:space="0" w:color="C65911"/>
              <w:bottom w:val="single" w:sz="4" w:space="0" w:color="C65911"/>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1,127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688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647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647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1,237</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19" w:type="dxa"/>
            <w:vMerge w:val="continue"/>
            <w:tcBorders>
              <w:left w:val="single" w:sz="4" w:space="0" w:color="C65911"/>
              <w:bottom w:val="single" w:sz="4" w:space="0" w:color="C65911"/>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1,197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733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683</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683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1,304</w:t>
            </w:r>
          </w:p>
        </w:tc>
      </w:tr>
      <w:tr>
        <w:trPr>
          <w:trHeight w:val="340" w:hRule="atLeast"/>
        </w:trPr>
        <w:tc>
          <w:tcPr>
            <w:tcW w:w="9350" w:type="dxa"/>
            <w:gridSpan w:val="7"/>
            <w:tcBorders>
              <w:top w:val="single" w:sz="4" w:space="0" w:color="C65911"/>
              <w:left w:val="single" w:sz="4" w:space="0" w:color="C65911"/>
              <w:bottom w:val="single" w:sz="4" w:space="0" w:color="C65911"/>
              <w:right w:val="single" w:sz="4" w:space="0" w:color="C65911"/>
            </w:tcBorders>
            <w:shd w:color="000000" w:fill="F8CBAD"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NOCHES ADICIONALES</w:t>
            </w:r>
          </w:p>
        </w:tc>
      </w:tr>
      <w:tr>
        <w:trPr>
          <w:trHeight w:val="340" w:hRule="atLeast"/>
        </w:trPr>
        <w:tc>
          <w:tcPr>
            <w:tcW w:w="1838" w:type="dxa"/>
            <w:tcBorders>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19"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125</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19"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132</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61</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19"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229</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115</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111</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19"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246</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340" w:hRule="atLeast"/>
        </w:trPr>
        <w:tc>
          <w:tcPr>
            <w:tcW w:w="1838"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19"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403</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201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188</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340" w:hRule="atLeast"/>
        </w:trPr>
        <w:tc>
          <w:tcPr>
            <w:tcW w:w="1838" w:type="dxa"/>
            <w:tcBorders>
              <w:top w:val="single" w:sz="4" w:space="0" w:color="C65911"/>
              <w:left w:val="single" w:sz="4" w:space="0" w:color="C65911"/>
              <w:bottom w:val="single" w:sz="4" w:space="0" w:color="E36C0A"/>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19"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429</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215</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cs="Arial" w:ascii="Arial" w:hAnsi="Arial"/>
          <w:b/>
          <w:bCs/>
          <w:i/>
          <w:iCs/>
          <w:sz w:val="18"/>
          <w:szCs w:val="18"/>
        </w:rPr>
        <w:t>Nota: Tarifas a reconfirmar en fechas o periodos especiales, (feriados, navidad, año nuevo, carnaval, semana santa, mes de julio). Se permite 1 menor compartiendo habitación con 2 adultos en la misma habitación, con las camas disponibles.</w:t>
      </w:r>
    </w:p>
    <w:p>
      <w:pPr>
        <w:pStyle w:val="Paragraph"/>
        <w:spacing w:beforeAutospacing="0" w:before="0" w:afterAutospacing="0" w:after="0"/>
        <w:jc w:val="both"/>
        <w:textAlignment w:val="baseline"/>
        <w:rPr>
          <w:rFonts w:ascii="Arial" w:hAnsi="Arial" w:cs="Arial"/>
          <w:b/>
          <w:b/>
          <w:bCs/>
          <w:i/>
          <w:i/>
          <w:iCs/>
          <w:sz w:val="18"/>
          <w:szCs w:val="18"/>
          <w:lang w:val="es-MX"/>
        </w:rPr>
      </w:pPr>
      <w:r>
        <w:rPr>
          <w:rFonts w:cs="Arial" w:ascii="Arial" w:hAnsi="Arial"/>
          <w:b/>
          <w:bCs/>
          <w:i/>
          <w:iCs/>
          <w:color w:val="FF0000"/>
          <w:sz w:val="18"/>
          <w:szCs w:val="18"/>
          <w:u w:val="single"/>
        </w:rPr>
        <w:t>*PVS:</w:t>
      </w:r>
      <w:r>
        <w:rPr>
          <w:rFonts w:cs="Arial" w:ascii="Arial" w:hAnsi="Arial"/>
          <w:b/>
          <w:bCs/>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EL PRECIO INCLUYE:</w:t>
      </w:r>
    </w:p>
    <w:p>
      <w:pPr>
        <w:pStyle w:val="Normal"/>
        <w:widowControl w:val="false"/>
        <w:numPr>
          <w:ilvl w:val="0"/>
          <w:numId w:val="2"/>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Traslados aeropuerto – hotel – aeropuerto </w:t>
      </w:r>
      <w:r>
        <w:rPr>
          <w:rFonts w:cs="Arial" w:ascii="Arial" w:hAnsi="Arial"/>
          <w:b/>
          <w:i/>
          <w:sz w:val="18"/>
          <w:szCs w:val="18"/>
          <w:lang w:val="es-ES_tradnl" w:eastAsia="es-ES"/>
        </w:rPr>
        <w:t>en servicio regular en horario diurno</w:t>
      </w:r>
    </w:p>
    <w:p>
      <w:pPr>
        <w:pStyle w:val="Normal"/>
        <w:widowControl w:val="false"/>
        <w:numPr>
          <w:ilvl w:val="0"/>
          <w:numId w:val="2"/>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03 noches de alojamiento en Iguazú</w:t>
      </w:r>
    </w:p>
    <w:p>
      <w:pPr>
        <w:pStyle w:val="Normal"/>
        <w:widowControl w:val="false"/>
        <w:numPr>
          <w:ilvl w:val="0"/>
          <w:numId w:val="2"/>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Desayuno diario</w:t>
      </w:r>
    </w:p>
    <w:p>
      <w:pPr>
        <w:pStyle w:val="Normal"/>
        <w:widowControl w:val="false"/>
        <w:numPr>
          <w:ilvl w:val="0"/>
          <w:numId w:val="2"/>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Excursión a Cataratas lado brasileño y lado argentino en servicio regular</w:t>
      </w:r>
    </w:p>
    <w:p>
      <w:pPr>
        <w:pStyle w:val="Normal"/>
        <w:widowControl w:val="false"/>
        <w:numPr>
          <w:ilvl w:val="0"/>
          <w:numId w:val="2"/>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Guía en habla hispana</w:t>
      </w:r>
    </w:p>
    <w:p>
      <w:pPr>
        <w:pStyle w:val="Normal"/>
        <w:widowControl w:val="false"/>
        <w:numPr>
          <w:ilvl w:val="0"/>
          <w:numId w:val="2"/>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Seguro de viaje </w:t>
      </w:r>
      <w:r>
        <w:rPr>
          <w:rFonts w:eastAsia="Arial" w:cs="Arial" w:ascii="Arial" w:hAnsi="Arial"/>
          <w:b/>
          <w:i/>
          <w:color w:val="000000"/>
          <w:sz w:val="18"/>
          <w:szCs w:val="18"/>
        </w:rPr>
        <w:t xml:space="preserve">con cobertura COVID </w:t>
      </w:r>
    </w:p>
    <w:p>
      <w:pPr>
        <w:pStyle w:val="Normal"/>
        <w:widowControl w:val="false"/>
        <w:numPr>
          <w:ilvl w:val="0"/>
          <w:numId w:val="2"/>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Asistencia 24hrs</w:t>
      </w:r>
    </w:p>
    <w:p>
      <w:pPr>
        <w:pStyle w:val="Normal"/>
        <w:spacing w:lineRule="auto" w:line="240" w:before="0" w:after="0"/>
        <w:jc w:val="both"/>
        <w:rPr>
          <w:rFonts w:ascii="Arial" w:hAnsi="Arial" w:eastAsia="Arial" w:cs="Arial"/>
          <w:b/>
          <w:b/>
          <w:color w:val="E36C09"/>
          <w:sz w:val="10"/>
          <w:szCs w:val="10"/>
          <w:u w:val="single"/>
        </w:rPr>
      </w:pPr>
      <w:r>
        <w:rPr>
          <w:rFonts w:eastAsia="Arial" w:cs="Arial" w:ascii="Arial" w:hAnsi="Arial"/>
          <w:b/>
          <w:color w:val="E36C09"/>
          <w:sz w:val="10"/>
          <w:szCs w:val="10"/>
          <w:u w:val="single"/>
        </w:rPr>
      </w:r>
    </w:p>
    <w:p>
      <w:pPr>
        <w:pStyle w:val="Normal"/>
        <w:spacing w:lineRule="auto" w:line="240" w:before="0" w:after="0"/>
        <w:jc w:val="both"/>
        <w:rPr>
          <w:rFonts w:ascii="Arial" w:hAnsi="Arial" w:eastAsia="Arial" w:cs="Arial"/>
          <w:b/>
          <w:b/>
          <w:color w:val="E36C09"/>
          <w:sz w:val="10"/>
          <w:szCs w:val="10"/>
          <w:u w:val="single"/>
        </w:rPr>
      </w:pPr>
      <w:r>
        <w:rPr>
          <w:rFonts w:eastAsia="Arial" w:cs="Arial" w:ascii="Arial" w:hAnsi="Arial"/>
          <w:b/>
          <w:color w:val="E36C09"/>
          <w:sz w:val="10"/>
          <w:szCs w:val="10"/>
          <w:u w:val="single"/>
        </w:rPr>
      </w:r>
    </w:p>
    <w:p>
      <w:pPr>
        <w:pStyle w:val="Normal"/>
        <w:spacing w:lineRule="auto" w:line="240" w:before="0" w:after="0"/>
        <w:jc w:val="both"/>
        <w:rPr>
          <w:rFonts w:ascii="Arial" w:hAnsi="Arial" w:eastAsia="Arial" w:cs="Arial"/>
          <w:b/>
          <w:b/>
          <w:color w:val="E36C09"/>
          <w:sz w:val="10"/>
          <w:szCs w:val="10"/>
          <w:u w:val="single"/>
        </w:rPr>
      </w:pPr>
      <w:r>
        <w:rPr>
          <w:rFonts w:eastAsia="Arial" w:cs="Arial" w:ascii="Arial" w:hAnsi="Arial"/>
          <w:b/>
          <w:color w:val="E36C09"/>
          <w:sz w:val="10"/>
          <w:szCs w:val="10"/>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EL PRECIO NO INCLUYE:</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Boleto de avión </w:t>
      </w:r>
      <w:r>
        <w:rPr>
          <w:rFonts w:cs="Arial" w:ascii="Arial" w:hAnsi="Arial"/>
          <w:sz w:val="18"/>
          <w:szCs w:val="18"/>
        </w:rPr>
        <w:t>México – Buenos Aires – Puerto Iguazú – Buenos Aires - México</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Gastos personales y propinas</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Alimentos no mencionados</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Ningún servicio no especificado</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cs="Arial" w:ascii="Arial" w:hAnsi="Arial"/>
          <w:color w:val="000000"/>
          <w:sz w:val="18"/>
          <w:szCs w:val="18"/>
        </w:rPr>
        <w:t>Impuestos de alojamiento / Tasas turísticas (pago directo en destino)</w:t>
      </w:r>
    </w:p>
    <w:p>
      <w:pPr>
        <w:pStyle w:val="Normal"/>
        <w:widowControl w:val="false"/>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widowControl w:val="false"/>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SUPLEMENTOS </w:t>
      </w:r>
      <w:r>
        <w:rPr>
          <w:rFonts w:cs="Arial" w:ascii="Arial" w:hAnsi="Arial"/>
          <w:b/>
          <w:color w:val="E36C0A" w:themeColor="accent6" w:themeShade="bf"/>
          <w:sz w:val="18"/>
          <w:szCs w:val="18"/>
          <w:u w:val="single"/>
        </w:rPr>
        <w:t>/ SERVICIOS ADICIONALES PRECIO POR PERSONA EN USD</w:t>
      </w:r>
      <w:r>
        <w:rPr>
          <w:rFonts w:eastAsia="Times New Roman" w:cs="Arial" w:ascii="Arial" w:hAnsi="Arial"/>
          <w:b/>
          <w:color w:val="E36C0A" w:themeColor="accent6" w:themeShade="bf"/>
          <w:sz w:val="18"/>
          <w:szCs w:val="18"/>
          <w:u w:val="single"/>
          <w:lang w:val="es-ES_tradnl" w:eastAsia="es-ES"/>
        </w:rPr>
        <w:t>:</w:t>
      </w:r>
    </w:p>
    <w:p>
      <w:pPr>
        <w:pStyle w:val="Normal"/>
        <w:spacing w:lineRule="auto" w:line="240" w:before="0" w:after="0"/>
        <w:jc w:val="both"/>
        <w:rPr>
          <w:rFonts w:ascii="Arial" w:hAnsi="Arial" w:eastAsia="Times New Roman" w:cs="Arial"/>
          <w:b/>
          <w:b/>
          <w:color w:val="E36C0A" w:themeColor="accent6" w:themeShade="bf"/>
          <w:sz w:val="12"/>
          <w:szCs w:val="12"/>
          <w:u w:val="single"/>
          <w:lang w:val="es-ES_tradnl" w:eastAsia="es-ES"/>
        </w:rPr>
      </w:pPr>
      <w:r>
        <w:rPr>
          <w:rFonts w:eastAsia="Times New Roman" w:cs="Arial" w:ascii="Arial" w:hAnsi="Arial"/>
          <w:b/>
          <w:color w:val="E36C0A" w:themeColor="accent6" w:themeShade="bf"/>
          <w:sz w:val="12"/>
          <w:szCs w:val="12"/>
          <w:u w:val="single"/>
          <w:lang w:val="es-ES_tradnl" w:eastAsia="es-ES"/>
        </w:rPr>
      </w:r>
    </w:p>
    <w:tbl>
      <w:tblPr>
        <w:tblStyle w:val="Tablaconcuadrcula"/>
        <w:tblW w:w="68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95"/>
        <w:gridCol w:w="1286"/>
        <w:gridCol w:w="1276"/>
        <w:gridCol w:w="1275"/>
        <w:gridCol w:w="1276"/>
      </w:tblGrid>
      <w:tr>
        <w:trPr>
          <w:trHeight w:val="340" w:hRule="atLeast"/>
        </w:trPr>
        <w:tc>
          <w:tcPr>
            <w:tcW w:w="6808" w:type="dxa"/>
            <w:gridSpan w:val="5"/>
            <w:tcBorders>
              <w:top w:val="single" w:sz="4" w:space="0" w:color="C00000"/>
              <w:left w:val="single" w:sz="4" w:space="0" w:color="C00000"/>
              <w:bottom w:val="single" w:sz="4" w:space="0" w:color="E36C0A"/>
              <w:right w:val="single" w:sz="4" w:space="0" w:color="C00000"/>
            </w:tcBorders>
            <w:shd w:color="auto" w:fill="C00000" w:val="clear"/>
            <w:vAlign w:val="center"/>
          </w:tcPr>
          <w:p>
            <w:pPr>
              <w:pStyle w:val="Normal"/>
              <w:widowControl/>
              <w:spacing w:lineRule="auto" w:line="240" w:before="0" w:after="0"/>
              <w:jc w:val="left"/>
              <w:rPr>
                <w:rFonts w:ascii="Arial" w:hAnsi="Arial" w:cs="Arial"/>
                <w:b/>
                <w:b/>
                <w:bCs/>
                <w:sz w:val="18"/>
                <w:szCs w:val="18"/>
              </w:rPr>
            </w:pPr>
            <w:bookmarkStart w:id="2" w:name="_Hlk155347077"/>
            <w:r>
              <w:rPr>
                <w:rFonts w:eastAsia="Calibri" w:cs="Arial" w:ascii="Arial" w:hAnsi="Arial"/>
                <w:b/>
                <w:bCs/>
                <w:color w:val="FFFFFF" w:themeColor="background1"/>
                <w:kern w:val="0"/>
                <w:sz w:val="18"/>
                <w:szCs w:val="18"/>
                <w:lang w:eastAsia="en-US" w:bidi="ar-SA"/>
              </w:rPr>
              <w:t>Traslados nocturnos después de las 22:00hrs y antes de las 07:00hrs – One way (un solo trayecto)</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E36C0A" w:themeColor="accent6" w:themeShade="bf"/>
                <w:sz w:val="18"/>
                <w:szCs w:val="18"/>
                <w:lang w:val="es-ES_tradnl" w:eastAsia="es-ES"/>
              </w:rPr>
            </w:pPr>
            <w:r>
              <w:rPr>
                <w:rFonts w:eastAsia="Times New Roman" w:cs="Arial" w:ascii="Arial" w:hAnsi="Arial"/>
                <w:b/>
                <w:bCs/>
                <w:color w:val="000000" w:themeColor="text1"/>
                <w:kern w:val="0"/>
                <w:sz w:val="18"/>
                <w:szCs w:val="18"/>
                <w:lang w:eastAsia="es-ES" w:bidi="ar-SA"/>
              </w:rPr>
              <w:t>Ciudad</w:t>
            </w:r>
          </w:p>
        </w:tc>
        <w:tc>
          <w:tcPr>
            <w:tcW w:w="128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1 Pasajero</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2 Pasajeros</w:t>
            </w:r>
          </w:p>
        </w:tc>
        <w:tc>
          <w:tcPr>
            <w:tcW w:w="127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3 Pasajeros</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4 Pasajeros</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Iguazú</w:t>
            </w:r>
          </w:p>
        </w:tc>
        <w:tc>
          <w:tcPr>
            <w:tcW w:w="128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119</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60</w:t>
            </w:r>
          </w:p>
        </w:tc>
        <w:tc>
          <w:tcPr>
            <w:tcW w:w="1275"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50</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bookmarkStart w:id="3" w:name="_Hlk155347077"/>
            <w:r>
              <w:rPr>
                <w:rFonts w:eastAsia="Times New Roman" w:cs="Arial" w:ascii="Arial" w:hAnsi="Arial"/>
                <w:bCs/>
                <w:color w:val="000000" w:themeColor="text1"/>
                <w:kern w:val="0"/>
                <w:sz w:val="18"/>
                <w:szCs w:val="18"/>
                <w:lang w:val="es-ES_tradnl" w:eastAsia="es-ES" w:bidi="ar-SA"/>
              </w:rPr>
              <w:t>USD 46</w:t>
            </w:r>
            <w:bookmarkEnd w:id="3"/>
          </w:p>
        </w:tc>
      </w:tr>
    </w:tbl>
    <w:p>
      <w:pPr>
        <w:pStyle w:val="Normal"/>
        <w:widowControl w:val="false"/>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tbl>
      <w:tblPr>
        <w:tblW w:w="9769"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8784"/>
        <w:gridCol w:w="984"/>
      </w:tblGrid>
      <w:tr>
        <w:trPr>
          <w:trHeight w:val="340" w:hRule="atLeast"/>
        </w:trPr>
        <w:tc>
          <w:tcPr>
            <w:tcW w:w="8784"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SERVICIOS OPCIONALES</w:t>
            </w:r>
          </w:p>
        </w:tc>
        <w:tc>
          <w:tcPr>
            <w:tcW w:w="984"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ADULTO / MENOR</w:t>
            </w:r>
          </w:p>
        </w:tc>
      </w:tr>
      <w:tr>
        <w:trPr>
          <w:trHeight w:val="340" w:hRule="atLeast"/>
        </w:trPr>
        <w:tc>
          <w:tcPr>
            <w:tcW w:w="8784"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Default"/>
              <w:widowControl w:val="false"/>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 xml:space="preserve">Navegación Gran Aventura en servicio compartido: </w:t>
            </w:r>
          </w:p>
          <w:p>
            <w:pPr>
              <w:pStyle w:val="Default"/>
              <w:widowControl w:val="false"/>
              <w:jc w:val="both"/>
              <w:rPr>
                <w:rFonts w:ascii="Arial" w:hAnsi="Arial" w:cs="Arial"/>
                <w:i/>
                <w:i/>
                <w:iCs/>
                <w:sz w:val="16"/>
                <w:szCs w:val="16"/>
              </w:rPr>
            </w:pPr>
            <w:r>
              <w:rPr>
                <w:rFonts w:cs="Arial" w:ascii="Arial" w:hAnsi="Arial"/>
                <w:i/>
                <w:iCs/>
                <w:sz w:val="16"/>
                <w:szCs w:val="16"/>
              </w:rPr>
              <w:t xml:space="preserve">Duración: 2 horas </w:t>
            </w:r>
          </w:p>
          <w:p>
            <w:pPr>
              <w:pStyle w:val="Default"/>
              <w:widowControl w:val="false"/>
              <w:jc w:val="both"/>
              <w:rPr>
                <w:rFonts w:ascii="Arial" w:hAnsi="Arial" w:cs="Arial"/>
                <w:sz w:val="18"/>
                <w:szCs w:val="18"/>
              </w:rPr>
            </w:pPr>
            <w:r>
              <w:rPr>
                <w:rFonts w:cs="Arial" w:ascii="Arial" w:hAnsi="Arial"/>
                <w:sz w:val="18"/>
                <w:szCs w:val="18"/>
              </w:rPr>
              <w:t xml:space="preserve">Partiendo del Centro Operativo o del Centro de Visitantes, se ingresará a la selva por el sendero Yacaratiá en camiones especialmente diseñados para el medio ambiente y desde los cuales los guías bilingües presentarán los diversos recursos naturales y culturales de la zona. El tramo de 5 kilómetros termina en el muelle de Puerto Macuco, donde se abordará el bote para navegar por el Bajo Iguazú. Durante 6 km, se disfrutarán de las vistas y de un emocionante paseo con muchos rápidos mientras se dirige al área donde se unen las cascadas. Al llegar a la cascada Tres Mosqueteros, se podrá ver los lados argentino y brasileño de las cataratas, adornado con una vista inolvidable de la Garganta del Diablo. Luego, el punto más emocionante llega frente al incomparable Salto de San Martín, el segundo en tamaño y el más grandioso que cualquier barco puede enfrentar. Al finalizar la navegación, se desembarcará de la lancha en el muelle ubicado frente a la Isla San Martín, donde se podrá seguir disfrutando del paisaje que se une con el sistema de pasarelas del Circuito Inferior. Esta excursión también se podrá realizar en sentido contrario: desde el muelle San Martín hasta el Centro de Visitantes. Este tour no está permitido para niños menores de 12 años, mujeres embarazadas, personas con osteoporosis, problemas de cuello, espalda o cirugía para estas áreas, así como cualquier persona con alguna discapacidad física, cognitiva y / o sensorial que no pueda reaccionar cualquier potencial emergencia náutica en los rápidos del bajo río Iguazú.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84"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110</w:t>
            </w:r>
          </w:p>
        </w:tc>
      </w:tr>
      <w:tr>
        <w:trPr>
          <w:trHeight w:val="340" w:hRule="atLeast"/>
        </w:trPr>
        <w:tc>
          <w:tcPr>
            <w:tcW w:w="8784"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Transfer a Parque de aves a continuación de Cataratas lado Brasileño en servicio compartido</w:t>
            </w:r>
          </w:p>
          <w:p>
            <w:pPr>
              <w:pStyle w:val="Default"/>
              <w:widowControl w:val="false"/>
              <w:jc w:val="both"/>
              <w:rPr>
                <w:rFonts w:ascii="Arial" w:hAnsi="Arial" w:cs="Arial"/>
                <w:i/>
                <w:i/>
                <w:iCs/>
                <w:sz w:val="16"/>
                <w:szCs w:val="16"/>
              </w:rPr>
            </w:pPr>
            <w:r>
              <w:rPr>
                <w:rFonts w:cs="Arial" w:ascii="Arial" w:hAnsi="Arial"/>
                <w:i/>
                <w:iCs/>
                <w:sz w:val="16"/>
                <w:szCs w:val="16"/>
              </w:rPr>
              <w:t xml:space="preserve">Duración: 2 horas </w:t>
            </w:r>
          </w:p>
          <w:p>
            <w:pPr>
              <w:pStyle w:val="Default"/>
              <w:widowControl w:val="false"/>
              <w:jc w:val="both"/>
              <w:rPr>
                <w:rFonts w:ascii="Arial" w:hAnsi="Arial" w:cs="Arial"/>
                <w:sz w:val="18"/>
                <w:szCs w:val="18"/>
              </w:rPr>
            </w:pPr>
            <w:r>
              <w:rPr>
                <w:rFonts w:cs="Arial" w:ascii="Arial" w:hAnsi="Arial"/>
                <w:sz w:val="18"/>
                <w:szCs w:val="18"/>
              </w:rPr>
              <w:t xml:space="preserve">Después de visitar el Parque Nacional de Brasil, se ingresará al mundo de la naturaleza. Pájaros tropicales raros y coloridos se integran a la exuberante y húmeda madera verde. Los visitantes tendrán la oportunidad de ingresar a estos centros de jardinería para admirar de cerca la vida de las aves. Además, hay cocodrilos, anacondas, boas, monos, titi y mariposas que sorprenden a los visitantes.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84"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67</w:t>
            </w:r>
          </w:p>
        </w:tc>
      </w:tr>
    </w:tbl>
    <w:p>
      <w:pPr>
        <w:pStyle w:val="Normal"/>
        <w:widowControl w:val="false"/>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NOTAS IMPORTANTES:</w:t>
      </w:r>
    </w:p>
    <w:p>
      <w:pPr>
        <w:pStyle w:val="NoSpacing"/>
        <w:widowControl w:val="false"/>
        <w:numPr>
          <w:ilvl w:val="0"/>
          <w:numId w:val="5"/>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3"/>
        </w:numPr>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pPr>
        <w:pStyle w:val="NoSpacing"/>
        <w:widowControl w:val="false"/>
        <w:numPr>
          <w:ilvl w:val="0"/>
          <w:numId w:val="3"/>
        </w:numPr>
        <w:jc w:val="both"/>
        <w:textAlignment w:val="baseline"/>
        <w:rPr>
          <w:rFonts w:ascii="Arial" w:hAnsi="Arial" w:cs="Arial"/>
          <w:b/>
          <w:b/>
          <w:i/>
          <w:i/>
          <w:sz w:val="18"/>
          <w:szCs w:val="18"/>
          <w:lang w:val="es-ES_tradnl" w:eastAsia="es-ES"/>
        </w:rPr>
      </w:pPr>
      <w:r>
        <w:rPr>
          <w:rFonts w:cs="Arial" w:ascii="Arial" w:hAnsi="Arial"/>
          <w:b/>
          <w:i/>
          <w:sz w:val="18"/>
          <w:szCs w:val="18"/>
          <w:lang w:val="es-ES_tradnl" w:eastAsia="es-ES"/>
        </w:rPr>
        <w:t>ARGENTINA:</w:t>
      </w:r>
    </w:p>
    <w:p>
      <w:pPr>
        <w:pStyle w:val="NoSpacing"/>
        <w:widowControl w:val="false"/>
        <w:numPr>
          <w:ilvl w:val="0"/>
          <w:numId w:val="3"/>
        </w:numPr>
        <w:jc w:val="both"/>
        <w:textAlignment w:val="baseline"/>
        <w:rPr>
          <w:rFonts w:ascii="Arial" w:hAnsi="Arial" w:cs="Arial"/>
          <w:sz w:val="18"/>
          <w:szCs w:val="18"/>
          <w:lang w:val="es-ES" w:eastAsia="es-ES"/>
        </w:rPr>
      </w:pPr>
      <w:r>
        <w:rPr>
          <w:rFonts w:cs="Arial" w:ascii="Arial" w:hAnsi="Arial"/>
          <w:sz w:val="18"/>
          <w:szCs w:val="18"/>
          <w:lang w:val="es-ES" w:eastAsia="es-ES"/>
        </w:rPr>
        <w:t>Informamos que el Gobierno de la Ciudad de Buenos Aires, se establece el cobro de una percepción sobre el Derecho de Uso Urbano llamada “TASA VISIT CABA”. Aplica a turistas no residentes, a partir de los 12 años, dicho impuesto se cobrará al momento del check-out en la recepción del hotel, sin excepción, en base al Tipo de Cambio oficial de Banco Nación, por cada noche de alojamiento y a cada uno de los pasajeros no residentes. Se emitirá Factura tipo B por dicho concepto que será entregada al pasajero en cuanto se retire del hotel. Se pagará por noche y por persona dependiendo de la característica del alojamiento utilizado, los precios mencionados son orientativos y sujetos a cambio por disposición de del gobierno de la Ciudad de Buenos Aires:</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3* estrellas USD 0.50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4* estrellas USD 1.00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5* estrellas USD 1.50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Boutique USD 1.00</w:t>
      </w:r>
    </w:p>
    <w:p>
      <w:pPr>
        <w:pStyle w:val="NoSpacing"/>
        <w:widowControl w:val="false"/>
        <w:ind w:left="720" w:hanging="0"/>
        <w:jc w:val="both"/>
        <w:textAlignment w:val="baseline"/>
        <w:rPr>
          <w:rFonts w:ascii="Arial" w:hAnsi="Arial" w:cs="Arial"/>
          <w:sz w:val="18"/>
          <w:szCs w:val="18"/>
          <w:lang w:val="es-ES" w:eastAsia="es-ES"/>
        </w:rPr>
      </w:pPr>
      <w:r>
        <w:rPr>
          <w:rFonts w:cs="Arial" w:ascii="Arial" w:hAnsi="Arial"/>
          <w:sz w:val="18"/>
          <w:szCs w:val="18"/>
          <w:lang w:val="es-ES" w:eastAsia="es-ES"/>
        </w:rPr>
        <w:t>Apart Hoteles USD 0.50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Cruceros USD 1.00</w:t>
      </w:r>
    </w:p>
    <w:p>
      <w:pPr>
        <w:pStyle w:val="NoSpacing"/>
        <w:widowControl w:val="false"/>
        <w:numPr>
          <w:ilvl w:val="0"/>
          <w:numId w:val="5"/>
        </w:numPr>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3"/>
        </w:numPr>
        <w:spacing w:lineRule="auto" w:line="240"/>
        <w:jc w:val="both"/>
        <w:textAlignment w:val="baseline"/>
        <w:rPr>
          <w:rFonts w:ascii="Arial" w:hAnsi="Arial" w:cs="Arial"/>
          <w:sz w:val="18"/>
          <w:szCs w:val="18"/>
          <w:lang w:eastAsia="es-ES"/>
        </w:rPr>
      </w:pPr>
      <w:r>
        <w:rPr>
          <w:rFonts w:cs="Arial" w:ascii="Arial" w:hAnsi="Arial"/>
          <w:sz w:val="18"/>
          <w:szCs w:val="18"/>
        </w:rPr>
        <w:t>Los servicios de traslados y excursiones son otorgados como servicios regulares; estos servicios están sujetos a horarios pre-establecidos y se brindan junto a otros pasajeros. Consulte los precios en servicio privado.</w:t>
      </w:r>
    </w:p>
    <w:p>
      <w:pPr>
        <w:pStyle w:val="ListParagraph"/>
        <w:widowControl w:val="false"/>
        <w:numPr>
          <w:ilvl w:val="0"/>
          <w:numId w:val="3"/>
        </w:numPr>
        <w:spacing w:lineRule="auto" w:line="240"/>
        <w:jc w:val="both"/>
        <w:textAlignment w:val="baseline"/>
        <w:rPr>
          <w:rFonts w:ascii="Arial" w:hAnsi="Arial" w:cs="Arial"/>
          <w:sz w:val="18"/>
          <w:szCs w:val="18"/>
          <w:lang w:eastAsia="es-ES"/>
        </w:rPr>
      </w:pPr>
      <w:r>
        <w:rPr>
          <w:rFonts w:cs="Arial" w:ascii="Arial" w:hAnsi="Arial"/>
          <w:sz w:val="18"/>
          <w:szCs w:val="18"/>
          <w:lang w:eastAsia="es-ES"/>
        </w:rPr>
        <w:t>Consulte suplemento para traslados desde y/o hasta el aeropuerto en horario nocturno.</w:t>
      </w:r>
    </w:p>
    <w:p>
      <w:pPr>
        <w:pStyle w:val="ListParagraph"/>
        <w:widowControl w:val="false"/>
        <w:numPr>
          <w:ilvl w:val="0"/>
          <w:numId w:val="3"/>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pPr>
        <w:pStyle w:val="ListParagraph"/>
        <w:widowControl w:val="false"/>
        <w:numPr>
          <w:ilvl w:val="0"/>
          <w:numId w:val="3"/>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 xml:space="preserve">Los hoteles comienzan el servicio de desayuno en un horario entre las 07:00 y las 8:00hrs, por lo que en caso de los pasajeros tengan vuelos con salidas antes de este horario, Tourmundial no se hace responsable de la pérdida o reposición del servicio, así como el hotel no garantiza el servicio de box lunch o “desayuno to go”. </w:t>
      </w:r>
    </w:p>
    <w:p>
      <w:pPr>
        <w:pStyle w:val="ListParagraph"/>
        <w:widowControl w:val="false"/>
        <w:numPr>
          <w:ilvl w:val="0"/>
          <w:numId w:val="3"/>
        </w:numPr>
        <w:spacing w:lineRule="auto" w:line="240"/>
        <w:jc w:val="both"/>
        <w:textAlignment w:val="baseline"/>
        <w:rPr>
          <w:rFonts w:ascii="Arial" w:hAnsi="Arial" w:cs="Arial"/>
          <w:sz w:val="18"/>
          <w:szCs w:val="18"/>
          <w:lang w:eastAsia="es-ES"/>
        </w:rPr>
      </w:pPr>
      <w:r>
        <w:rPr>
          <w:rFonts w:cs="Arial" w:ascii="Arial" w:hAnsi="Arial"/>
          <w:sz w:val="18"/>
          <w:szCs w:val="18"/>
        </w:rPr>
        <w:t>Operación a partir de mínimo 2 personas.</w:t>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VIGENCIA HASTA EL 19 DE MARZO 2025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r>
        <w:rPr>
          <w:rFonts w:cs="Arial" w:ascii="Arial" w:hAnsi="Arial"/>
          <w:b/>
          <w:color w:val="FFFFFF" w:themeColor="background1"/>
          <w:sz w:val="18"/>
          <w:szCs w:val="18"/>
          <w:highlight w:val="blue"/>
          <w:u w:val="single"/>
          <w:lang w:val="es-ES_tradnl" w:eastAsia="es-ES"/>
        </w:rPr>
        <w:t>SE REQUIERE DE PREPAGO</w:t>
      </w:r>
    </w:p>
    <w:tbl>
      <w:tblPr>
        <w:tblStyle w:val="Sombreadomedio1-nfasis6"/>
        <w:tblW w:w="901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017"/>
      </w:tblGrid>
      <w:tr>
        <w:trPr>
          <w:trHeight w:val="364" w:hRule="atLeast"/>
          <w:cnfStyle w:val="100000000000" w:firstRow="1" w:lastRow="0" w:firstColumn="0" w:lastColumn="0" w:oddVBand="0" w:evenVBand="0" w:oddHBand="0" w:evenHBand="0" w:firstRowFirstColumn="0" w:firstRowLastColumn="0" w:lastRowFirstColumn="0" w:lastRowLastColumn="0"/>
        </w:trPr>
        <w:tc>
          <w:tcPr>
            <w:tcW w:w="901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64" w:hRule="atLeast"/>
          <w:cnfStyle w:val="000000100000" w:firstRow="0" w:lastRow="0" w:firstColumn="0" w:lastColumn="0" w:oddVBand="0" w:evenVBand="0" w:oddHBand="1" w:evenHBand="0" w:firstRowFirstColumn="0" w:firstRowLastColumn="0" w:lastRowFirstColumn="0" w:lastRowLastColumn="0"/>
        </w:trPr>
        <w:tc>
          <w:tcPr>
            <w:tcW w:w="901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4"/>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34 días antes de la fecha de salida del pasajero: SIN CARGO.</w:t>
            </w:r>
          </w:p>
          <w:p>
            <w:pPr>
              <w:pStyle w:val="NoSpacing"/>
              <w:widowControl w:val="false"/>
              <w:numPr>
                <w:ilvl w:val="0"/>
                <w:numId w:val="4"/>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4"/>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4"/>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4"/>
              </w:numPr>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tc>
      </w:tr>
    </w:tbl>
    <w:p>
      <w:pPr>
        <w:pStyle w:val="NoSpacing"/>
        <w:widowControl w:val="false"/>
        <w:jc w:val="center"/>
        <w:textAlignment w:val="baseline"/>
        <w:rPr>
          <w:rFonts w:ascii="Arial" w:hAnsi="Arial" w:cs="Arial"/>
          <w:lang w:val="es-MX"/>
        </w:rPr>
      </w:pPr>
      <w:r>
        <w:rPr>
          <w:rFonts w:cs="Arial" w:ascii="Arial" w:hAnsi="Arial"/>
          <w:b/>
          <w:sz w:val="18"/>
          <w:szCs w:val="18"/>
          <w:u w:val="single"/>
          <w:lang w:val="es-ES_tradnl" w:eastAsia="es-ES"/>
        </w:rPr>
        <w:t>El presente documento es de carácter informativo, más no una confirmación.</w:t>
      </w:r>
    </w:p>
    <w:p>
      <w:pPr>
        <w:pStyle w:val="Normal"/>
        <w:spacing w:lineRule="auto" w:line="240" w:before="0" w:after="0"/>
        <w:jc w:val="both"/>
        <w:rPr>
          <w:rFonts w:ascii="Arial" w:hAnsi="Arial" w:eastAsia="Arial" w:cs="Arial"/>
          <w:b/>
          <w:b/>
          <w:color w:val="E36C09"/>
          <w:sz w:val="18"/>
          <w:szCs w:val="18"/>
          <w:u w:val="single"/>
        </w:rPr>
      </w:pPr>
      <w:r>
        <w:rPr/>
      </w:r>
    </w:p>
    <w:sectPr>
      <w:headerReference w:type="default" r:id="rId4"/>
      <w:footerReference w:type="default" r:id="rId5"/>
      <w:type w:val="nextPage"/>
      <w:pgSz w:w="11906" w:h="16838"/>
      <w:pgMar w:left="1080" w:right="1080" w:gutter="0" w:header="709" w:top="1440" w:footer="709" w:bottom="144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Courier New">
    <w:charset w:val="01"/>
    <w:family w:val="modern"/>
    <w:pitch w:val="fixed"/>
  </w:font>
  <w:font w:name="Noto Sans Symbols">
    <w:charset w:val="01"/>
    <w:family w:val="swiss"/>
    <w:pitch w:val="default"/>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center"/>
      <w:rPr>
        <w:rFonts w:ascii="Arial" w:hAnsi="Arial" w:eastAsia="Arial" w:cs="Arial"/>
        <w:color w:val="000000"/>
        <w:sz w:val="13"/>
        <w:szCs w:val="13"/>
      </w:rPr>
    </w:pPr>
    <w:r>
      <w:rPr>
        <w:rFonts w:eastAsia="Arial" w:cs="Arial" w:ascii="Arial" w:hAnsi="Arial"/>
        <w:color w:val="000000"/>
        <w:sz w:val="13"/>
        <w:szCs w:val="13"/>
      </w:rPr>
      <w:t>Tel.(52) (55) 4147 – 5780</w:t>
    </w:r>
  </w:p>
  <w:p>
    <w:pPr>
      <w:pStyle w:val="Normal"/>
      <w:pBdr/>
      <w:tabs>
        <w:tab w:val="clear" w:pos="720"/>
        <w:tab w:val="center" w:pos="4252" w:leader="none"/>
        <w:tab w:val="right" w:pos="8504" w:leader="none"/>
      </w:tabs>
      <w:spacing w:lineRule="auto" w:line="240" w:before="0" w:after="0"/>
      <w:jc w:val="center"/>
      <w:rPr>
        <w:rFonts w:ascii="Arial" w:hAnsi="Arial" w:eastAsia="Arial" w:cs="Arial"/>
        <w:color w:val="000000"/>
        <w:sz w:val="13"/>
        <w:szCs w:val="13"/>
      </w:rPr>
    </w:pPr>
    <w:r>
      <w:rPr>
        <w:rFonts w:eastAsia="Arial" w:cs="Arial" w:ascii="Arial" w:hAnsi="Arial"/>
        <w:color w:val="000000"/>
        <w:sz w:val="13"/>
        <w:szCs w:val="13"/>
      </w:rPr>
      <w:t xml:space="preserve"> </w:t>
    </w:r>
    <w:hyperlink r:id="rId1">
      <w:r>
        <w:rPr>
          <w:rFonts w:eastAsia="Arial" w:cs="Arial" w:ascii="Arial" w:hAnsi="Arial"/>
          <w:color w:val="0000FF"/>
          <w:sz w:val="13"/>
          <w:szCs w:val="13"/>
          <w:u w:val="single"/>
        </w:rPr>
        <w:t>www.tourmundial.mx</w:t>
      </w:r>
    </w:hyperlink>
    <w:r>
      <w:rPr>
        <w:rFonts w:eastAsia="Arial" w:cs="Arial" w:ascii="Arial" w:hAnsi="Arial"/>
        <w:color w:val="000000"/>
        <w:sz w:val="13"/>
        <w:szCs w:val="13"/>
      </w:rPr>
      <w:t xml:space="preserve"> </w:t>
    </w:r>
    <w:hyperlink r:id="rId2">
      <w:r>
        <w:rPr>
          <w:rFonts w:eastAsia="Arial" w:cs="Arial" w:ascii="Arial" w:hAnsi="Arial"/>
          <w:color w:val="0000FF"/>
          <w:sz w:val="13"/>
          <w:szCs w:val="13"/>
          <w:u w:val="single"/>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rPr>
        <w:color w:val="000000"/>
      </w:rPr>
    </w:pPr>
    <w:r>
      <w:rPr>
        <w:color w:val="000000"/>
      </w:rPr>
      <mc:AlternateContent>
        <mc:Choice Requires="wps">
          <w:drawing>
            <wp:anchor behindDoc="1" distT="0" distB="28575" distL="0" distR="28575" simplePos="0" locked="0" layoutInCell="0" allowOverlap="1" relativeHeight="5" wp14:anchorId="1D811CEF">
              <wp:simplePos x="0" y="0"/>
              <wp:positionH relativeFrom="page">
                <wp:align>left</wp:align>
              </wp:positionH>
              <wp:positionV relativeFrom="paragraph">
                <wp:posOffset>-488315</wp:posOffset>
              </wp:positionV>
              <wp:extent cx="7648575" cy="923925"/>
              <wp:effectExtent l="13335" t="12700" r="12065" b="12700"/>
              <wp:wrapNone/>
              <wp:docPr id="2" name="Rectángulo 1"/>
              <a:graphic xmlns:a="http://schemas.openxmlformats.org/drawingml/2006/main">
                <a:graphicData uri="http://schemas.microsoft.com/office/word/2010/wordprocessingShape">
                  <wps:wsp>
                    <wps:cNvSpPr/>
                    <wps:spPr>
                      <a:xfrm>
                        <a:off x="0" y="0"/>
                        <a:ext cx="7648560" cy="92376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0pt;margin-top:-38.45pt;width:602.2pt;height:72.7pt;mso-wrap-style:none;v-text-anchor:middle;mso-position-horizontal:left;mso-position-horizontal-relative:page" wp14:anchorId="1D811CEF">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10">
          <wp:simplePos x="0" y="0"/>
          <wp:positionH relativeFrom="margin">
            <wp:posOffset>-76200</wp:posOffset>
          </wp:positionH>
          <wp:positionV relativeFrom="page">
            <wp:posOffset>153035</wp:posOffset>
          </wp:positionV>
          <wp:extent cx="1847850" cy="595630"/>
          <wp:effectExtent l="0" t="0" r="0" b="0"/>
          <wp:wrapSquare wrapText="bothSides"/>
          <wp:docPr id="3"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Forma&#10;&#10;Descripción generada automáticamente con confianza media"/>
                  <pic:cNvPicPr>
                    <a:picLocks noChangeAspect="1" noChangeArrowheads="1"/>
                  </pic:cNvPicPr>
                </pic:nvPicPr>
                <pic:blipFill>
                  <a:blip r:embed="rId1"/>
                  <a:stretch>
                    <a:fillRect/>
                  </a:stretch>
                </pic:blipFill>
                <pic:spPr bwMode="auto">
                  <a:xfrm>
                    <a:off x="0" y="0"/>
                    <a:ext cx="1847850" cy="5956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sz w:val="18"/>
        <w:szCs w:val="18"/>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_tradnl"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38f"/>
    <w:pPr>
      <w:widowControl/>
      <w:bidi w:val="0"/>
      <w:spacing w:lineRule="auto" w:line="276" w:before="0" w:after="200"/>
      <w:jc w:val="left"/>
    </w:pPr>
    <w:rPr>
      <w:rFonts w:ascii="Calibri" w:hAnsi="Calibri" w:eastAsia="Calibri" w:cs="Calibri"/>
      <w:color w:val="auto"/>
      <w:kern w:val="0"/>
      <w:sz w:val="22"/>
      <w:szCs w:val="22"/>
      <w:lang w:val="es-ES" w:eastAsia="es-MX"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e8238f"/>
    <w:rPr>
      <w:lang w:val="es-ES"/>
    </w:rPr>
  </w:style>
  <w:style w:type="character" w:styleId="EnlacedeInternet">
    <w:name w:val="Enlace de Internet"/>
    <w:basedOn w:val="DefaultParagraphFont"/>
    <w:uiPriority w:val="99"/>
    <w:unhideWhenUsed/>
    <w:rsid w:val="00e8238f"/>
    <w:rPr>
      <w:color w:val="0000FF" w:themeColor="hyperlink"/>
      <w:u w:val="single"/>
    </w:rPr>
  </w:style>
  <w:style w:type="character" w:styleId="EncabezadoCar" w:customStyle="1">
    <w:name w:val="Encabezado Car"/>
    <w:basedOn w:val="DefaultParagraphFont"/>
    <w:qFormat/>
    <w:rsid w:val="00e8238f"/>
    <w:rPr>
      <w:lang w:val="es-ES"/>
    </w:rPr>
  </w:style>
  <w:style w:type="character" w:styleId="Strong">
    <w:name w:val="Strong"/>
    <w:basedOn w:val="DefaultParagraphFont"/>
    <w:qFormat/>
    <w:rsid w:val="00240742"/>
    <w:rPr>
      <w:b/>
      <w:bCs/>
    </w:rPr>
  </w:style>
  <w:style w:type="character" w:styleId="TextodegloboCar" w:customStyle="1">
    <w:name w:val="Texto de globo Car"/>
    <w:basedOn w:val="DefaultParagraphFont"/>
    <w:link w:val="BalloonText"/>
    <w:uiPriority w:val="99"/>
    <w:semiHidden/>
    <w:qFormat/>
    <w:rsid w:val="005f3342"/>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Ttulogeneral">
    <w:name w:val="Title"/>
    <w:basedOn w:val="Normal"/>
    <w:next w:val="Normal"/>
    <w:qFormat/>
    <w:pPr>
      <w:keepNext w:val="true"/>
      <w:keepLines/>
      <w:spacing w:before="480" w:after="120"/>
    </w:pPr>
    <w:rPr>
      <w:b/>
      <w:sz w:val="72"/>
      <w:szCs w:val="72"/>
    </w:rPr>
  </w:style>
  <w:style w:type="paragraph" w:styleId="NoSpacing">
    <w:name w:val="No Spacing"/>
    <w:link w:val="SinespaciadoCar"/>
    <w:uiPriority w:val="1"/>
    <w:qFormat/>
    <w:rsid w:val="00e8238f"/>
    <w:pPr>
      <w:widowControl/>
      <w:bidi w:val="0"/>
      <w:spacing w:lineRule="auto" w:line="240" w:before="0" w:after="0"/>
      <w:jc w:val="left"/>
    </w:pPr>
    <w:rPr>
      <w:rFonts w:ascii="Times New Roman" w:hAnsi="Times New Roman" w:eastAsia="Times New Roman" w:cs="Times New Roman"/>
      <w:color w:val="auto"/>
      <w:kern w:val="0"/>
      <w:sz w:val="24"/>
      <w:szCs w:val="24"/>
      <w:lang w:val="en-US" w:eastAsia="es-MX"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e8238f"/>
    <w:pPr>
      <w:tabs>
        <w:tab w:val="clear" w:pos="720"/>
        <w:tab w:val="center" w:pos="4252" w:leader="none"/>
        <w:tab w:val="right" w:pos="8504" w:leader="none"/>
      </w:tabs>
      <w:spacing w:lineRule="auto" w:line="240" w:before="0" w:after="0"/>
    </w:pPr>
    <w:rPr/>
  </w:style>
  <w:style w:type="paragraph" w:styleId="Cabecera">
    <w:name w:val="Header"/>
    <w:basedOn w:val="Normal"/>
    <w:link w:val="EncabezadoCar"/>
    <w:unhideWhenUsed/>
    <w:rsid w:val="00e8238f"/>
    <w:pPr>
      <w:tabs>
        <w:tab w:val="clear" w:pos="720"/>
        <w:tab w:val="center" w:pos="4252" w:leader="none"/>
        <w:tab w:val="right" w:pos="8504" w:leader="none"/>
      </w:tabs>
      <w:spacing w:lineRule="auto" w:line="240" w:before="0" w:after="0"/>
    </w:pPr>
    <w:rPr/>
  </w:style>
  <w:style w:type="paragraph" w:styleId="ListParagraph">
    <w:name w:val="List Paragraph"/>
    <w:basedOn w:val="Normal"/>
    <w:uiPriority w:val="34"/>
    <w:qFormat/>
    <w:rsid w:val="00e8238f"/>
    <w:pPr>
      <w:spacing w:before="0" w:after="200"/>
      <w:ind w:left="720" w:hanging="0"/>
      <w:contextualSpacing/>
    </w:pPr>
    <w:rPr/>
  </w:style>
  <w:style w:type="paragraph" w:styleId="BalloonText">
    <w:name w:val="Balloon Text"/>
    <w:basedOn w:val="Normal"/>
    <w:link w:val="TextodegloboCar"/>
    <w:uiPriority w:val="99"/>
    <w:semiHidden/>
    <w:unhideWhenUsed/>
    <w:qFormat/>
    <w:rsid w:val="005f3342"/>
    <w:pPr>
      <w:spacing w:lineRule="auto" w:line="240" w:before="0" w:after="0"/>
    </w:pPr>
    <w:rPr>
      <w:rFonts w:ascii="Tahoma" w:hAnsi="Tahoma" w:cs="Tahoma"/>
      <w:sz w:val="16"/>
      <w:szCs w:val="16"/>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b44420"/>
    <w:pPr>
      <w:spacing w:lineRule="auto" w:line="240" w:beforeAutospacing="1" w:afterAutospacing="1"/>
    </w:pPr>
    <w:rPr>
      <w:rFonts w:ascii="Times New Roman" w:hAnsi="Times New Roman" w:eastAsia="Times New Roman" w:cs="Times New Roman"/>
      <w:sz w:val="24"/>
      <w:szCs w:val="24"/>
      <w:lang w:eastAsia="es-ES"/>
    </w:rPr>
  </w:style>
  <w:style w:type="paragraph" w:styleId="Paragraph" w:customStyle="1">
    <w:name w:val="paragraph"/>
    <w:basedOn w:val="Normal"/>
    <w:qFormat/>
    <w:rsid w:val="004a0355"/>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491a36"/>
    <w:pPr>
      <w:widowControl/>
      <w:bidi w:val="0"/>
      <w:spacing w:lineRule="auto" w:line="240" w:before="0" w:after="0"/>
      <w:jc w:val="left"/>
    </w:pPr>
    <w:rPr>
      <w:rFonts w:ascii="Times New Roman" w:hAnsi="Times New Roman" w:cs="Times New Roman" w:eastAsia="Calibri"/>
      <w:color w:val="000000"/>
      <w:kern w:val="0"/>
      <w:sz w:val="24"/>
      <w:szCs w:val="24"/>
      <w:lang w:val="es-ES"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4a0355"/>
    <w:pPr>
      <w:spacing w:after="0" w:line="240" w:lineRule="auto"/>
    </w:pPr>
    <w:rPr>
      <w:rFonts w:asciiTheme="minorHAnsi" w:hAnsiTheme="minorHAnsi" w:eastAsiaTheme="minorHAnsi" w:cstheme="minorBidi"/>
      <w:lang w:val="es-MX"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2.xml><?xml version="1.0" encoding="utf-8"?>
<go:gDocsCustomXmlDataStorage xmlns:go="http://customooxmlschemas.google.com/" xmlns:r="http://schemas.openxmlformats.org/officeDocument/2006/relationships">
  <go:docsCustomData roundtripDataSignature="AMtx7mhdWScQ25BOK28s22oTVe3Qq4RWzg==">AMUW2mU6q5F2eEoc1gxMy52Q1WXXjWfP1g7Sj6m/Ioms1FTc9+Gkj7nluB+IglFznacg1VapgdmJfRYM3XY15SHmXW/3yxjnax1aLt+mr+C9cGcAiA9Ni4onslG8tJIpLVeK6LpH4nJL</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CA661-25EB-4846-A8E5-AA6356A74FF3}"/>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207771-3EE5-4507-9058-8085E4A4E322}"/>
</file>

<file path=customXml/itemProps4.xml><?xml version="1.0" encoding="utf-8"?>
<ds:datastoreItem xmlns:ds="http://schemas.openxmlformats.org/officeDocument/2006/customXml" ds:itemID="{D14E3782-C83D-4B4A-91F8-DB58DB4EA723}"/>
</file>

<file path=docProps/app.xml><?xml version="1.0" encoding="utf-8"?>
<Properties xmlns="http://schemas.openxmlformats.org/officeDocument/2006/extended-properties" xmlns:vt="http://schemas.openxmlformats.org/officeDocument/2006/docPropsVTypes">
  <Template>Normal</Template>
  <TotalTime>8</TotalTime>
  <Application>LibreOffice/7.3.5.2$Windows_X86_64 LibreOffice_project/184fe81b8c8c30d8b5082578aee2fed2ea847c01</Application>
  <AppVersion>15.0000</AppVersion>
  <Pages>4</Pages>
  <Words>1841</Words>
  <Characters>9374</Characters>
  <CharactersWithSpaces>11096</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2024-01-08T23:05:00Z</dcterms:created>
  <dc:creator>Nancy Lara</dc:creator>
  <dc:description/>
  <dc:language>es-MX</dc:language>
  <cp:lastModifiedBy/>
  <dcterms:modified xsi:type="dcterms:W3CDTF">2024-08-14T15:56:15Z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01057de1889800785c9712cfc791a82d08c5247a469879e6cb7979c856274c16</vt:lpwstr>
  </property>
  <property fmtid="{D5CDD505-2E9C-101B-9397-08002B2CF9AE}" pid="4" name="MediaServiceImageTags">
    <vt:lpwstr/>
  </property>
</Properties>
</file>