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108" w:tblpY="14" w:topFromText="0" w:vertAnchor="text"/>
        <w:tblW w:w="9696"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9696"/>
      </w:tblGrid>
      <w:tr>
        <w:trPr>
          <w:trHeight w:val="240" w:hRule="atLeast"/>
          <w:cnfStyle w:val="100000000000" w:firstRow="1" w:lastRow="0" w:firstColumn="0" w:lastColumn="0" w:oddVBand="0" w:evenVBand="0" w:oddHBand="0" w:evenHBand="0" w:firstRowFirstColumn="0" w:firstRowLastColumn="0" w:lastRowFirstColumn="0" w:lastRowLastColumn="0"/>
        </w:trPr>
        <w:tc>
          <w:tcPr>
            <w:tcW w:w="9696"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tcPr>
          <w:p>
            <w:pPr>
              <w:pStyle w:val="Normal"/>
              <w:widowControl w:val="false"/>
              <w:suppressAutoHyphens w:val="true"/>
              <w:spacing w:lineRule="auto" w:line="240" w:before="0" w:after="0"/>
              <w:jc w:val="right"/>
              <w:rPr>
                <w:rFonts w:ascii="Arial" w:hAnsi="Arial" w:eastAsia="Times New Roman" w:cs="Arial"/>
                <w:b w:val="false"/>
                <w:b w:val="false"/>
                <w:color w:val="FF0000"/>
                <w:sz w:val="44"/>
                <w:szCs w:val="44"/>
                <w:lang w:eastAsia="es-ES"/>
              </w:rPr>
            </w:pPr>
            <w:r>
              <w:rPr>
                <w:rFonts w:eastAsia="Times New Roman" w:cs="Arial" w:ascii="Arial" w:hAnsi="Arial"/>
                <w:b/>
                <w:bCs w:val="false"/>
                <w:color w:val="EF782D"/>
                <w:kern w:val="0"/>
                <w:sz w:val="44"/>
                <w:szCs w:val="44"/>
                <w:lang w:val="es-ES" w:eastAsia="es-ES" w:bidi="ar-SA"/>
              </w:rPr>
              <w:t>INVIERNO EN ALBERTA</w:t>
            </w:r>
          </w:p>
        </w:tc>
      </w:tr>
    </w:tbl>
    <w:p>
      <w:pPr>
        <w:pStyle w:val="Normal"/>
        <w:spacing w:lineRule="auto" w:line="240" w:before="0" w:after="0"/>
        <w:jc w:val="both"/>
        <w:rPr>
          <w:rFonts w:ascii="Arial" w:hAnsi="Arial" w:eastAsia="Times New Roman" w:cs="Arial"/>
          <w:color w:val="000000"/>
          <w:sz w:val="8"/>
          <w:szCs w:val="12"/>
          <w:lang w:eastAsia="es-ES"/>
        </w:rPr>
      </w:pPr>
      <w:r>
        <w:rPr>
          <w:rFonts w:eastAsia="Times New Roman" w:cs="Arial" w:ascii="Arial" w:hAnsi="Arial"/>
          <w:color w:val="000000"/>
          <w:sz w:val="8"/>
          <w:szCs w:val="12"/>
          <w:lang w:eastAsia="es-ES"/>
        </w:rPr>
      </w:r>
    </w:p>
    <w:tbl>
      <w:tblPr>
        <w:tblStyle w:val="Cuadrculamedia1-nfasis6"/>
        <w:tblW w:w="9843" w:type="dxa"/>
        <w:jc w:val="left"/>
        <w:tblInd w:w="107" w:type="dxa"/>
        <w:shd w:fill="FDE4D0" w:val="clear"/>
        <w:tblLayout w:type="fixed"/>
        <w:tblCellMar>
          <w:top w:w="0" w:type="dxa"/>
          <w:left w:w="108" w:type="dxa"/>
          <w:bottom w:w="0" w:type="dxa"/>
          <w:right w:w="108" w:type="dxa"/>
        </w:tblCellMar>
        <w:tblLook w:firstRow="1" w:noVBand="1" w:lastRow="0" w:firstColumn="1" w:lastColumn="0" w:noHBand="0" w:val="04a0"/>
      </w:tblPr>
      <w:tblGrid>
        <w:gridCol w:w="9843"/>
      </w:tblGrid>
      <w:tr>
        <w:trPr>
          <w:trHeight w:val="946" w:hRule="atLeast"/>
          <w:cnfStyle w:val="100000000000" w:firstRow="1" w:lastRow="0" w:firstColumn="0" w:lastColumn="0" w:oddVBand="0" w:evenVBand="0" w:oddHBand="0" w:evenHBand="0" w:firstRowFirstColumn="0" w:firstRowLastColumn="0" w:lastRowFirstColumn="0" w:lastRowLastColumn="0"/>
        </w:trPr>
        <w:tc>
          <w:tcPr>
            <w:tcW w:w="9843"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
              <w:widowControl w:val="false"/>
              <w:suppressAutoHyphens w:val="true"/>
              <w:spacing w:lineRule="auto" w:line="240" w:before="0" w:after="0"/>
              <w:ind w:left="1410" w:hanging="1410"/>
              <w:jc w:val="both"/>
              <w:rPr>
                <w:rFonts w:ascii="Arial" w:hAnsi="Arial" w:eastAsia="Times New Roman" w:cs="Arial"/>
                <w:color w:val="000000"/>
                <w:sz w:val="18"/>
                <w:szCs w:val="18"/>
                <w:lang w:val="es-MX" w:eastAsia="es-ES"/>
              </w:rPr>
            </w:pPr>
            <w:r>
              <w:rPr>
                <w:rFonts w:eastAsia="Times New Roman" w:cs="Arial" w:ascii="Arial" w:hAnsi="Arial"/>
                <w:b/>
                <w:bCs/>
                <w:color w:val="EF782D"/>
                <w:kern w:val="0"/>
                <w:sz w:val="18"/>
                <w:szCs w:val="18"/>
                <w:lang w:val="es-MX" w:eastAsia="es-ES" w:bidi="ar-SA"/>
              </w:rPr>
              <w:t>Visitando</w:t>
            </w:r>
            <w:r>
              <w:rPr>
                <w:rFonts w:eastAsia="Times New Roman" w:cs="Arial" w:ascii="Arial" w:hAnsi="Arial"/>
                <w:b/>
                <w:bCs/>
                <w:color w:val="E36C0A" w:themeColor="accent6" w:themeShade="bf"/>
                <w:kern w:val="0"/>
                <w:sz w:val="18"/>
                <w:szCs w:val="18"/>
                <w:lang w:val="es-MX" w:eastAsia="es-ES" w:bidi="ar-SA"/>
              </w:rPr>
              <w:t>:</w:t>
            </w:r>
            <w:r>
              <w:rPr>
                <w:rFonts w:eastAsia="Times New Roman" w:cs="Arial" w:ascii="Arial" w:hAnsi="Arial"/>
                <w:b/>
                <w:bCs/>
                <w:color w:val="000000"/>
                <w:kern w:val="0"/>
                <w:sz w:val="18"/>
                <w:szCs w:val="18"/>
                <w:lang w:val="es-MX" w:eastAsia="es-ES" w:bidi="ar-SA"/>
              </w:rPr>
              <w:tab/>
              <w:t>Calgary-Banff- Lake Louise-Banff-Calgary</w:t>
            </w:r>
          </w:p>
          <w:p>
            <w:pPr>
              <w:pStyle w:val="Normal"/>
              <w:widowControl w:val="false"/>
              <w:suppressAutoHyphens w:val="true"/>
              <w:spacing w:lineRule="auto" w:line="240" w:before="0" w:after="0"/>
              <w:ind w:left="1410" w:hanging="1410"/>
              <w:jc w:val="both"/>
              <w:rPr>
                <w:rFonts w:ascii="Arial" w:hAnsi="Arial" w:eastAsia="Times New Roman" w:cs="Arial"/>
                <w:b w:val="false"/>
                <w:b w:val="false"/>
                <w:bCs w:val="false"/>
                <w:color w:val="000000" w:themeColor="text1"/>
                <w:sz w:val="18"/>
                <w:szCs w:val="18"/>
                <w:lang w:eastAsia="es-ES"/>
              </w:rPr>
            </w:pPr>
            <w:r>
              <w:rPr>
                <w:rFonts w:eastAsia="Times New Roman" w:cs="Arial" w:ascii="Arial" w:hAnsi="Arial"/>
                <w:b/>
                <w:bCs/>
                <w:color w:val="E36C0A" w:themeColor="accent6" w:themeShade="bf"/>
                <w:kern w:val="0"/>
                <w:sz w:val="18"/>
                <w:szCs w:val="18"/>
                <w:lang w:val="es-ES" w:eastAsia="es-ES" w:bidi="ar-SA"/>
              </w:rPr>
              <w:t xml:space="preserve">Salidas:              </w:t>
            </w:r>
            <w:r>
              <w:rPr>
                <w:rFonts w:eastAsia="Times New Roman" w:cs="Arial" w:ascii="Arial" w:hAnsi="Arial"/>
                <w:b/>
                <w:bCs/>
                <w:color w:val="000000" w:themeColor="text1"/>
                <w:kern w:val="0"/>
                <w:sz w:val="18"/>
                <w:szCs w:val="18"/>
                <w:lang w:val="es-ES" w:eastAsia="es-ES" w:bidi="ar-SA"/>
              </w:rPr>
              <w:t>Diarias</w:t>
            </w:r>
          </w:p>
          <w:p>
            <w:pPr>
              <w:pStyle w:val="Normal"/>
              <w:widowControl w:val="false"/>
              <w:suppressAutoHyphens w:val="true"/>
              <w:spacing w:lineRule="auto" w:line="240" w:before="0" w:after="0"/>
              <w:ind w:left="1410" w:hanging="1410"/>
              <w:jc w:val="both"/>
              <w:rPr>
                <w:rFonts w:ascii="Arial" w:hAnsi="Arial" w:eastAsia="Times New Roman" w:cs="Arial"/>
                <w:color w:val="000000"/>
                <w:sz w:val="18"/>
                <w:szCs w:val="18"/>
                <w:lang w:eastAsia="es-ES"/>
              </w:rPr>
            </w:pPr>
            <w:r>
              <w:rPr>
                <w:rFonts w:eastAsia="Times New Roman" w:cs="Arial" w:ascii="Arial" w:hAnsi="Arial"/>
                <w:b/>
                <w:bCs/>
                <w:color w:val="E36C0A" w:themeColor="accent6" w:themeShade="bf"/>
                <w:kern w:val="0"/>
                <w:sz w:val="18"/>
                <w:szCs w:val="18"/>
                <w:lang w:val="es-ES" w:eastAsia="es-ES" w:bidi="ar-SA"/>
              </w:rPr>
              <w:t>Duración:</w:t>
            </w:r>
            <w:r>
              <w:rPr>
                <w:rFonts w:eastAsia="Times New Roman" w:cs="Arial" w:ascii="Arial" w:hAnsi="Arial"/>
                <w:b/>
                <w:bCs/>
                <w:color w:val="000000"/>
                <w:kern w:val="0"/>
                <w:sz w:val="18"/>
                <w:szCs w:val="18"/>
                <w:lang w:val="es-ES" w:eastAsia="es-ES" w:bidi="ar-SA"/>
              </w:rPr>
              <w:tab/>
            </w:r>
            <w:r>
              <w:rPr>
                <w:rFonts w:eastAsia="Times New Roman" w:cs="Arial" w:ascii="Arial" w:hAnsi="Arial"/>
                <w:b/>
                <w:bCs/>
                <w:color w:val="000000"/>
                <w:kern w:val="0"/>
                <w:sz w:val="18"/>
                <w:szCs w:val="18"/>
                <w:lang w:val="es-ES_tradnl" w:eastAsia="es-ES" w:bidi="ar-SA"/>
              </w:rPr>
              <w:tab/>
              <w:t>6 días / 5 noches</w:t>
            </w:r>
          </w:p>
          <w:p>
            <w:pPr>
              <w:pStyle w:val="Normal"/>
              <w:widowControl w:val="false"/>
              <w:suppressAutoHyphens w:val="true"/>
              <w:spacing w:lineRule="auto" w:line="240" w:before="0" w:after="0"/>
              <w:ind w:left="1410" w:hanging="1410"/>
              <w:jc w:val="both"/>
              <w:rPr>
                <w:rFonts w:ascii="Arial" w:hAnsi="Arial" w:eastAsia="Times New Roman" w:cs="Arial"/>
                <w:b w:val="false"/>
                <w:b w:val="false"/>
                <w:color w:val="000000"/>
                <w:sz w:val="18"/>
                <w:szCs w:val="18"/>
                <w:lang w:eastAsia="es-ES"/>
              </w:rPr>
            </w:pPr>
            <w:r>
              <w:rPr>
                <w:rFonts w:eastAsia="Times New Roman" w:cs="Arial" w:ascii="Arial" w:hAnsi="Arial"/>
                <w:b/>
                <w:bCs/>
                <w:color w:val="E36C0A" w:themeColor="accent6" w:themeShade="bf"/>
                <w:kern w:val="0"/>
                <w:sz w:val="18"/>
                <w:szCs w:val="18"/>
                <w:lang w:val="es-ES" w:eastAsia="es-ES" w:bidi="ar-SA"/>
              </w:rPr>
              <w:t xml:space="preserve">Alimentos:          </w:t>
            </w:r>
            <w:r>
              <w:rPr>
                <w:rFonts w:eastAsia="Times New Roman" w:cs="Arial" w:ascii="Arial" w:hAnsi="Arial"/>
                <w:b/>
                <w:bCs/>
                <w:color w:val="000000" w:themeColor="text1"/>
                <w:kern w:val="0"/>
                <w:sz w:val="18"/>
                <w:szCs w:val="18"/>
                <w:lang w:val="es-ES" w:eastAsia="es-ES" w:bidi="ar-SA"/>
              </w:rPr>
              <w:t>-</w:t>
            </w:r>
          </w:p>
        </w:tc>
      </w:tr>
    </w:tbl>
    <w:p>
      <w:pPr>
        <w:pStyle w:val="Normal"/>
        <w:spacing w:lineRule="auto" w:line="240" w:before="0" w:after="0"/>
        <w:rPr>
          <w:rFonts w:ascii="Arial" w:hAnsi="Arial" w:eastAsia="Times New Roman" w:cs="Arial"/>
          <w:b/>
          <w:b/>
          <w:color w:val="E36C0A" w:themeColor="accent6" w:themeShade="bf"/>
          <w:sz w:val="10"/>
          <w:szCs w:val="10"/>
          <w:u w:val="single"/>
          <w:lang w:eastAsia="es-ES"/>
        </w:rPr>
      </w:pPr>
      <w:r>
        <w:rPr>
          <w:rFonts w:eastAsia="Times New Roman" w:cs="Arial" w:ascii="Arial" w:hAnsi="Arial"/>
          <w:b/>
          <w:color w:val="E36C0A" w:themeColor="accent6" w:themeShade="bf"/>
          <w:sz w:val="10"/>
          <w:szCs w:val="10"/>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drawing>
          <wp:inline distT="0" distB="0" distL="0" distR="0">
            <wp:extent cx="6245860" cy="1943735"/>
            <wp:effectExtent l="0" t="0" r="0" b="0"/>
            <wp:docPr id="1"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
                    <pic:cNvPicPr>
                      <a:picLocks noChangeAspect="1" noChangeArrowheads="1"/>
                    </pic:cNvPicPr>
                  </pic:nvPicPr>
                  <pic:blipFill>
                    <a:blip r:embed="rId2"/>
                    <a:srcRect l="0" t="4265" r="0" b="0"/>
                    <a:stretch>
                      <a:fillRect/>
                    </a:stretch>
                  </pic:blipFill>
                  <pic:spPr bwMode="auto">
                    <a:xfrm>
                      <a:off x="0" y="0"/>
                      <a:ext cx="6245860" cy="1943735"/>
                    </a:xfrm>
                    <a:prstGeom prst="rect">
                      <a:avLst/>
                    </a:prstGeom>
                  </pic:spPr>
                </pic:pic>
              </a:graphicData>
            </a:graphic>
          </wp:inline>
        </w:drawing>
      </w:r>
    </w:p>
    <w:p>
      <w:pPr>
        <w:pStyle w:val="Normal"/>
        <w:spacing w:lineRule="auto" w:line="240" w:before="0" w:after="0"/>
        <w:jc w:val="center"/>
        <w:rPr>
          <w:rFonts w:ascii="Arial" w:hAnsi="Arial" w:eastAsia="Times New Roman" w:cs="Arial"/>
          <w:b/>
          <w:b/>
          <w:color w:val="E36C0A" w:themeColor="accent6" w:themeShade="bf"/>
          <w:sz w:val="12"/>
          <w:szCs w:val="12"/>
          <w:u w:val="single"/>
          <w:lang w:eastAsia="es-ES"/>
        </w:rPr>
      </w:pPr>
      <w:r>
        <w:rPr>
          <w:rFonts w:eastAsia="Times New Roman" w:cs="Arial" w:ascii="Arial" w:hAnsi="Arial"/>
          <w:b/>
          <w:color w:val="E36C0A" w:themeColor="accent6" w:themeShade="bf"/>
          <w:sz w:val="12"/>
          <w:szCs w:val="12"/>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both"/>
        <w:rPr>
          <w:rFonts w:ascii="Arial" w:hAnsi="Arial" w:eastAsia="Times New Roman" w:cs="Arial"/>
          <w:color w:val="000000"/>
          <w:sz w:val="12"/>
          <w:szCs w:val="18"/>
          <w:lang w:eastAsia="es-ES"/>
        </w:rPr>
      </w:pPr>
      <w:r>
        <w:rPr>
          <w:rFonts w:eastAsia="Times New Roman" w:cs="Arial" w:ascii="Arial" w:hAnsi="Arial"/>
          <w:color w:val="000000"/>
          <w:sz w:val="12"/>
          <w:szCs w:val="18"/>
          <w:lang w:eastAsia="es-ES"/>
        </w:rPr>
      </w:r>
    </w:p>
    <w:p>
      <w:pPr>
        <w:pStyle w:val="Normal"/>
        <w:spacing w:lineRule="auto" w:line="240" w:before="0" w:after="0"/>
        <w:jc w:val="both"/>
        <w:rPr>
          <w:rFonts w:ascii="Arial" w:hAnsi="Arial" w:eastAsia="Times New Roman" w:cs="Arial"/>
          <w:color w:val="000000"/>
          <w:sz w:val="12"/>
          <w:szCs w:val="18"/>
          <w:lang w:eastAsia="es-ES"/>
        </w:rPr>
      </w:pPr>
      <w:r>
        <w:rPr>
          <w:rFonts w:eastAsia="Times New Roman" w:cs="Arial" w:ascii="Arial" w:hAnsi="Arial"/>
          <w:color w:val="000000"/>
          <w:sz w:val="12"/>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 xml:space="preserve">Día 1 </w:t>
        <w:tab/>
        <w:t>Calgary</w:t>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cs="Arial" w:ascii="Arial" w:hAnsi="Arial"/>
          <w:sz w:val="18"/>
          <w:szCs w:val="18"/>
        </w:rPr>
        <w:t>Recepción en el aeropuerto con entrega de documentación para el viaje y traslado al hotel de Calgary Alojamiento.</w:t>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 xml:space="preserve">Día 2 </w:t>
        <w:tab/>
        <w:t>Calgary - Banff</w:t>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cs="Arial" w:ascii="Arial" w:hAnsi="Arial"/>
          <w:sz w:val="18"/>
          <w:szCs w:val="18"/>
        </w:rPr>
        <w:t xml:space="preserve">Por la mañana salida hacia Banff. El traslado (shuttle) se realiza en idioma inglés. A 90 minutos de Calgary, se levanta la belleza de Banff sin rival. Anidado en el valle protegido por los picos montañosos, Banff es un oasis alpino de actividad, aventura y vistas inspirantes. Por la tarde sugerimos caminar por las calles de Banff. Alojamiento </w:t>
      </w:r>
    </w:p>
    <w:p>
      <w:pPr>
        <w:pStyle w:val="Normal"/>
        <w:spacing w:lineRule="auto" w:line="240" w:before="0" w:after="0"/>
        <w:jc w:val="both"/>
        <w:rPr>
          <w:rFonts w:ascii="Arial" w:hAnsi="Arial" w:eastAsia="Times New Roman" w:cs="Arial"/>
          <w:sz w:val="18"/>
          <w:szCs w:val="18"/>
          <w:lang w:eastAsia="es-ES"/>
        </w:rPr>
      </w:pPr>
      <w:r>
        <w:rPr>
          <w:rFonts w:eastAsia="Times New Roman" w:cs="Arial" w:ascii="Arial" w:hAnsi="Arial"/>
          <w:sz w:val="18"/>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Día 3     Banff</w:t>
      </w:r>
    </w:p>
    <w:p>
      <w:pPr>
        <w:pStyle w:val="Normal"/>
        <w:spacing w:lineRule="auto" w:line="240" w:before="0" w:after="0"/>
        <w:jc w:val="both"/>
        <w:rPr>
          <w:b w:val="false"/>
          <w:b w:val="false"/>
          <w:bCs w:val="false"/>
          <w:i w:val="false"/>
          <w:i w:val="false"/>
          <w:iCs w:val="false"/>
          <w:color w:val="000000"/>
        </w:rPr>
      </w:pPr>
      <w:r>
        <w:rPr>
          <w:rFonts w:eastAsia="Times New Roman" w:cs="Arial" w:ascii="Arial" w:hAnsi="Arial"/>
          <w:b w:val="false"/>
          <w:bCs w:val="false"/>
          <w:i w:val="false"/>
          <w:iCs w:val="false"/>
          <w:color w:val="000000" w:themeShade="bf"/>
          <w:sz w:val="18"/>
          <w:szCs w:val="18"/>
          <w:lang w:eastAsia="es-ES"/>
        </w:rPr>
        <w:t>Día Libre. Recomendamos realizar el tour de invierno en Banff y su Naturleza</w:t>
      </w:r>
      <w:r>
        <w:rPr>
          <w:rFonts w:eastAsia="Times New Roman" w:cs="Arial" w:ascii="Arial" w:hAnsi="Arial"/>
          <w:b/>
          <w:bCs/>
          <w:i w:val="false"/>
          <w:iCs w:val="false"/>
          <w:color w:val="000000" w:themeShade="bf"/>
          <w:sz w:val="18"/>
          <w:szCs w:val="18"/>
          <w:lang w:eastAsia="es-ES"/>
        </w:rPr>
        <w:t xml:space="preserve"> (No incluido / En inglés / diciembre a marzo). </w:t>
      </w:r>
      <w:r>
        <w:rPr>
          <w:rFonts w:eastAsia="Times New Roman" w:cs="Arial" w:ascii="Arial" w:hAnsi="Arial"/>
          <w:b w:val="false"/>
          <w:bCs w:val="false"/>
          <w:i w:val="false"/>
          <w:iCs w:val="false"/>
          <w:color w:val="000000" w:themeShade="bf"/>
          <w:sz w:val="18"/>
          <w:szCs w:val="18"/>
          <w:lang w:eastAsia="es-ES"/>
        </w:rPr>
        <w:t>La excursión incluirá algunos de los lugares más pintorescos e históricamente significativos de Banff, como el Hotel Fairmont Banff Springs, las cataratas Bow, el mirador Surprise Corner, el mirador Hoodoos y el lago Minnewanka.</w:t>
      </w:r>
    </w:p>
    <w:p>
      <w:pPr>
        <w:pStyle w:val="Normal"/>
        <w:spacing w:lineRule="auto" w:line="240" w:before="0" w:after="0"/>
        <w:jc w:val="both"/>
        <w:rPr>
          <w:b w:val="false"/>
          <w:b w:val="false"/>
          <w:bCs w:val="false"/>
          <w:i w:val="false"/>
          <w:i w:val="false"/>
          <w:iCs w:val="false"/>
          <w:color w:val="000000"/>
        </w:rPr>
      </w:pPr>
      <w:r>
        <w:rPr>
          <w:rFonts w:eastAsia="Times New Roman" w:cs="Arial" w:ascii="Arial" w:hAnsi="Arial"/>
          <w:b w:val="false"/>
          <w:bCs w:val="false"/>
          <w:i w:val="false"/>
          <w:iCs w:val="false"/>
          <w:color w:val="000000" w:themeShade="bf"/>
          <w:sz w:val="18"/>
          <w:szCs w:val="18"/>
          <w:lang w:eastAsia="es-ES"/>
        </w:rPr>
        <w:t>Además, disfrute de chocolate caliente o agua fresca (según la época del año) y galletas de arce en una de las paradas panorámicas. Es una orientación completa sobre Banff y una excursión estupenda para ver la vida salvaje por la mañana. Alojamiento.</w:t>
        <w:tab/>
      </w:r>
    </w:p>
    <w:p>
      <w:pPr>
        <w:pStyle w:val="Normal"/>
        <w:spacing w:lineRule="auto" w:line="240" w:before="0" w:after="0"/>
        <w:jc w:val="both"/>
        <w:rPr>
          <w:rFonts w:ascii="Arial" w:hAnsi="Arial" w:eastAsia="Times New Roman" w:cs="Arial"/>
          <w:sz w:val="18"/>
          <w:szCs w:val="18"/>
          <w:lang w:eastAsia="es-ES"/>
        </w:rPr>
      </w:pPr>
      <w:r>
        <w:rPr>
          <w:rFonts w:eastAsia="Times New Roman" w:cs="Arial" w:ascii="Arial" w:hAnsi="Arial"/>
          <w:sz w:val="18"/>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Día 4     Banff – Lake Louise - Banff</w:t>
      </w:r>
    </w:p>
    <w:p>
      <w:pPr>
        <w:pStyle w:val="Normal"/>
        <w:spacing w:lineRule="auto" w:line="240" w:before="0" w:after="0"/>
        <w:jc w:val="both"/>
        <w:rPr>
          <w:b w:val="false"/>
          <w:b w:val="false"/>
          <w:bCs w:val="false"/>
          <w:color w:val="000000"/>
        </w:rPr>
      </w:pPr>
      <w:r>
        <w:rPr>
          <w:rFonts w:eastAsia="Times New Roman" w:cs="Arial" w:ascii="Arial" w:hAnsi="Arial"/>
          <w:b w:val="false"/>
          <w:bCs w:val="false"/>
          <w:color w:val="000000" w:themeShade="bf"/>
          <w:sz w:val="18"/>
          <w:szCs w:val="18"/>
          <w:lang w:eastAsia="es-ES"/>
        </w:rPr>
        <w:t xml:space="preserve">Este día disfrutarán la visita en el famoso Lake Louise </w:t>
      </w:r>
      <w:r>
        <w:rPr>
          <w:rFonts w:eastAsia="Times New Roman" w:cs="Arial" w:ascii="Arial" w:hAnsi="Arial"/>
          <w:b w:val="false"/>
          <w:bCs w:val="false"/>
          <w:i/>
          <w:iCs/>
          <w:color w:val="000000" w:themeShade="bf"/>
          <w:sz w:val="18"/>
          <w:szCs w:val="18"/>
          <w:u w:val="single"/>
          <w:lang w:eastAsia="es-ES"/>
        </w:rPr>
        <w:t>(incluido/en inglés)</w:t>
      </w:r>
      <w:r>
        <w:rPr>
          <w:rFonts w:eastAsia="Times New Roman" w:cs="Arial" w:ascii="Arial" w:hAnsi="Arial"/>
          <w:b w:val="false"/>
          <w:bCs w:val="false"/>
          <w:color w:val="000000" w:themeShade="bf"/>
          <w:sz w:val="18"/>
          <w:szCs w:val="18"/>
          <w:lang w:eastAsia="es-ES"/>
        </w:rPr>
        <w:t xml:space="preserve">. El bellísimo Lake Louise está localizado en el corazón de las Rocosas y a sólo una hora de Banff. Una vez en Lake Louise tendremos oportunidad de realizar una corta caminata con raquetas de nieve </w:t>
      </w:r>
      <w:r>
        <w:rPr>
          <w:rFonts w:eastAsia="Times New Roman" w:cs="Arial" w:ascii="Arial" w:hAnsi="Arial"/>
          <w:b w:val="false"/>
          <w:bCs w:val="false"/>
          <w:i/>
          <w:iCs/>
          <w:color w:val="000000" w:themeShade="bf"/>
          <w:sz w:val="18"/>
          <w:szCs w:val="18"/>
          <w:u w:val="single"/>
          <w:lang w:eastAsia="es-ES"/>
        </w:rPr>
        <w:t>(incluido / sin guía / a partir de diciembre 1)</w:t>
      </w:r>
      <w:r>
        <w:rPr>
          <w:rFonts w:eastAsia="Times New Roman" w:cs="Arial" w:ascii="Arial" w:hAnsi="Arial"/>
          <w:b w:val="false"/>
          <w:bCs w:val="false"/>
          <w:color w:val="000000" w:themeShade="bf"/>
          <w:sz w:val="18"/>
          <w:szCs w:val="18"/>
          <w:lang w:eastAsia="es-ES"/>
        </w:rPr>
        <w:t xml:space="preserve"> o visitar el famoso hotel Fairmont Château Lake Louise. Mount Victoria con el Glaciar Victoria (3,464 m) es probablemente el pico más fotografiado en las Rocosas,</w:t>
      </w:r>
    </w:p>
    <w:p>
      <w:pPr>
        <w:pStyle w:val="Normal"/>
        <w:spacing w:lineRule="auto" w:line="240" w:before="0" w:after="0"/>
        <w:jc w:val="both"/>
        <w:rPr>
          <w:b w:val="false"/>
          <w:b w:val="false"/>
          <w:bCs w:val="false"/>
          <w:color w:val="000000"/>
        </w:rPr>
      </w:pPr>
      <w:r>
        <w:rPr>
          <w:rFonts w:eastAsia="Times New Roman" w:cs="Arial" w:ascii="Arial" w:hAnsi="Arial"/>
          <w:b w:val="false"/>
          <w:bCs w:val="false"/>
          <w:color w:val="000000" w:themeShade="bf"/>
          <w:sz w:val="18"/>
          <w:szCs w:val="18"/>
          <w:lang w:eastAsia="es-ES"/>
        </w:rPr>
        <w:t>por encontrarse como marco de fondo a Lake Louise. Regreso a su hotel en Banff a las 17:15 horas aproximadamente. Alojamiento.</w:t>
      </w:r>
    </w:p>
    <w:p>
      <w:pPr>
        <w:pStyle w:val="Normal"/>
        <w:spacing w:lineRule="auto" w:line="240" w:before="0" w:after="0"/>
        <w:jc w:val="both"/>
        <w:rPr>
          <w:rFonts w:ascii="Arial" w:hAnsi="Arial" w:eastAsia="Times New Roman" w:cs="Arial"/>
          <w:sz w:val="18"/>
          <w:szCs w:val="18"/>
          <w:lang w:eastAsia="es-ES"/>
        </w:rPr>
      </w:pPr>
      <w:r>
        <w:rPr>
          <w:rFonts w:eastAsia="Times New Roman" w:cs="Arial" w:ascii="Arial" w:hAnsi="Arial"/>
          <w:sz w:val="18"/>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Día 5      Banff</w:t>
      </w:r>
    </w:p>
    <w:p>
      <w:pPr>
        <w:pStyle w:val="Normal"/>
        <w:spacing w:lineRule="auto" w:line="240" w:before="0" w:after="0"/>
        <w:jc w:val="both"/>
        <w:rPr/>
      </w:pPr>
      <w:r>
        <w:rPr>
          <w:rFonts w:eastAsia="Times New Roman" w:cs="Arial" w:ascii="Arial" w:hAnsi="Arial"/>
          <w:b w:val="false"/>
          <w:bCs w:val="false"/>
          <w:color w:val="000000" w:themeShade="bf"/>
          <w:sz w:val="18"/>
          <w:szCs w:val="18"/>
          <w:lang w:eastAsia="es-ES"/>
        </w:rPr>
        <w:t xml:space="preserve">Día libre. Recomendamos pasear por el encantador pueblo de Banff. Disfrute de las compras en Banff Avenue y sus diversos restaurantes y cafés. Durante nuestro tiempo libre podremos realizar una actividad única haciendo un paseo en Trineo de Perros </w:t>
      </w:r>
      <w:r>
        <w:rPr>
          <w:rFonts w:eastAsia="Times New Roman" w:cs="Arial" w:ascii="Arial" w:hAnsi="Arial"/>
          <w:b/>
          <w:bCs/>
          <w:color w:val="000000" w:themeShade="bf"/>
          <w:sz w:val="18"/>
          <w:szCs w:val="18"/>
          <w:lang w:eastAsia="es-ES"/>
        </w:rPr>
        <w:t>(opcional)</w:t>
      </w:r>
      <w:r>
        <w:rPr>
          <w:rFonts w:eastAsia="Times New Roman" w:cs="Arial" w:ascii="Arial" w:hAnsi="Arial"/>
          <w:b w:val="false"/>
          <w:bCs w:val="false"/>
          <w:color w:val="000000" w:themeShade="bf"/>
          <w:sz w:val="18"/>
          <w:szCs w:val="18"/>
          <w:lang w:eastAsia="es-ES"/>
        </w:rPr>
        <w:t>, con duración de 2 horas. ¡Este ha sido el medio de transporte más antiguo en Canadá!, ofrece diversión familiar, escapes románticos e increíbles aventuras. Durante el tour irán acompañados de un guía profesional y un feliz equipo de perros Alaskan Huskies. Sugerimos realizar, de manera opcional, una caminata con raquetas de nieve (snowshoes), esquiar o realizar un paseo en motos de nieve. Alojamiento.</w:t>
      </w:r>
      <w:r>
        <w:rPr>
          <w:rFonts w:eastAsia="Times New Roman" w:cs="Arial" w:ascii="Arial" w:hAnsi="Arial"/>
          <w:b/>
          <w:color w:val="E36C0A" w:themeColor="accent6" w:themeShade="bf"/>
          <w:sz w:val="18"/>
          <w:szCs w:val="18"/>
          <w:lang w:eastAsia="es-ES"/>
        </w:rPr>
        <w:tab/>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Día 6</w:t>
        <w:tab/>
        <w:t xml:space="preserve"> Banff – Calgary  </w:t>
      </w:r>
    </w:p>
    <w:p>
      <w:pPr>
        <w:pStyle w:val="Normal"/>
        <w:spacing w:lineRule="auto" w:line="240" w:before="0" w:after="0"/>
        <w:jc w:val="both"/>
        <w:rPr>
          <w:rFonts w:ascii="Arial" w:hAnsi="Arial" w:eastAsia="Times New Roman" w:cs="Arial"/>
          <w:sz w:val="18"/>
          <w:szCs w:val="18"/>
          <w:lang w:eastAsia="es-ES"/>
        </w:rPr>
      </w:pPr>
      <w:r>
        <w:rPr>
          <w:rFonts w:cs="Arial" w:ascii="Arial" w:hAnsi="Arial"/>
          <w:sz w:val="18"/>
          <w:szCs w:val="18"/>
        </w:rPr>
        <w:t>A la hora acordada traslado al aeropuerto de Calgary y fin de los servicios.</w:t>
      </w:r>
    </w:p>
    <w:p>
      <w:pPr>
        <w:pStyle w:val="Normal"/>
        <w:spacing w:lineRule="auto" w:line="240" w:before="0" w:after="0"/>
        <w:jc w:val="both"/>
        <w:rPr>
          <w:i/>
          <w:i/>
          <w:iCs/>
          <w:color w:val="808080"/>
          <w:sz w:val="16"/>
          <w:szCs w:val="16"/>
          <w:u w:val="none"/>
        </w:rPr>
      </w:pPr>
      <w:r>
        <w:rPr>
          <w:rFonts w:eastAsia="Times New Roman" w:cs="Arial" w:ascii="Arial" w:hAnsi="Arial"/>
          <w:i/>
          <w:iCs/>
          <w:color w:val="808080"/>
          <w:sz w:val="16"/>
          <w:szCs w:val="16"/>
          <w:u w:val="none"/>
          <w:lang w:eastAsia="es-ES"/>
        </w:rPr>
        <w:t>Nota: El Shuttle de salida desde el Hotel de Banff al Aeropuerto de Calgary tiene una duración de 2.5 horas. El primer shuttle es en la mañana (08:00am), por lo que el vuelo de salida deberá ser en la tarde.</w:t>
      </w:r>
    </w:p>
    <w:p>
      <w:pPr>
        <w:pStyle w:val="Normal"/>
        <w:spacing w:lineRule="auto" w:line="240" w:before="0" w:after="0"/>
        <w:jc w:val="both"/>
        <w:rPr>
          <w:rFonts w:ascii="Arial" w:hAnsi="Arial" w:eastAsia="Times New Roman" w:cs="Arial"/>
          <w:sz w:val="18"/>
          <w:szCs w:val="18"/>
          <w:lang w:eastAsia="es-ES"/>
        </w:rPr>
      </w:pPr>
      <w:r>
        <w:rPr>
          <w:rFonts w:eastAsia="Times New Roman" w:cs="Arial" w:ascii="Arial" w:hAnsi="Arial"/>
          <w:sz w:val="18"/>
          <w:szCs w:val="18"/>
          <w:lang w:eastAsia="es-ES"/>
        </w:rPr>
      </w:r>
    </w:p>
    <w:p>
      <w:pPr>
        <w:pStyle w:val="Normal"/>
        <w:spacing w:lineRule="auto" w:line="240" w:before="0" w:after="0"/>
        <w:jc w:val="right"/>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FIN DE LOS SERVICIOS.</w:t>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
      <w:r>
        <w:br w:type="page"/>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HOTELES PREVISTOS O SIMILARES:</w:t>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tbl>
      <w:tblPr>
        <w:tblW w:w="5000" w:type="pct"/>
        <w:jc w:val="left"/>
        <w:tblInd w:w="55" w:type="dxa"/>
        <w:tblLayout w:type="fixed"/>
        <w:tblCellMar>
          <w:top w:w="55" w:type="dxa"/>
          <w:left w:w="55" w:type="dxa"/>
          <w:bottom w:w="55" w:type="dxa"/>
          <w:right w:w="55" w:type="dxa"/>
        </w:tblCellMar>
      </w:tblPr>
      <w:tblGrid>
        <w:gridCol w:w="3248"/>
        <w:gridCol w:w="3249"/>
        <w:gridCol w:w="3249"/>
      </w:tblGrid>
      <w:tr>
        <w:trPr/>
        <w:tc>
          <w:tcPr>
            <w:tcW w:w="3248" w:type="dxa"/>
            <w:tcBorders>
              <w:top w:val="single" w:sz="4" w:space="0" w:color="E36C0A"/>
              <w:left w:val="single" w:sz="4" w:space="0" w:color="E36C0A"/>
              <w:bottom w:val="single" w:sz="4" w:space="0" w:color="E36C0A"/>
            </w:tcBorders>
            <w:shd w:fill="E36C0A" w:val="clear"/>
          </w:tcPr>
          <w:p>
            <w:pPr>
              <w:pStyle w:val="Contenidodelatabla"/>
              <w:spacing w:before="0" w:after="200"/>
              <w:jc w:val="center"/>
              <w:rPr>
                <w:rFonts w:ascii="Arial" w:hAnsi="Arial"/>
                <w:color w:val="FFFFFF"/>
                <w:sz w:val="18"/>
                <w:szCs w:val="18"/>
              </w:rPr>
            </w:pPr>
            <w:r>
              <w:rPr>
                <w:rFonts w:ascii="Arial" w:hAnsi="Arial"/>
                <w:color w:val="FFFFFF"/>
                <w:sz w:val="18"/>
                <w:szCs w:val="18"/>
              </w:rPr>
              <w:t>CIUDAD</w:t>
            </w:r>
          </w:p>
        </w:tc>
        <w:tc>
          <w:tcPr>
            <w:tcW w:w="3249" w:type="dxa"/>
            <w:tcBorders>
              <w:top w:val="single" w:sz="4" w:space="0" w:color="E36C0A"/>
              <w:left w:val="single" w:sz="4" w:space="0" w:color="E36C0A"/>
              <w:bottom w:val="single" w:sz="4" w:space="0" w:color="E36C0A"/>
            </w:tcBorders>
            <w:shd w:fill="E36C0A" w:val="clear"/>
          </w:tcPr>
          <w:p>
            <w:pPr>
              <w:pStyle w:val="Contenidodelatabla"/>
              <w:spacing w:before="0" w:after="200"/>
              <w:jc w:val="center"/>
              <w:rPr>
                <w:rFonts w:ascii="Arial" w:hAnsi="Arial"/>
                <w:color w:val="FFFFFF"/>
                <w:sz w:val="18"/>
                <w:szCs w:val="18"/>
              </w:rPr>
            </w:pPr>
            <w:r>
              <w:rPr>
                <w:rFonts w:ascii="Arial" w:hAnsi="Arial"/>
                <w:color w:val="FFFFFF"/>
                <w:sz w:val="18"/>
                <w:szCs w:val="18"/>
              </w:rPr>
              <w:t>HOTEL</w:t>
            </w:r>
          </w:p>
        </w:tc>
        <w:tc>
          <w:tcPr>
            <w:tcW w:w="3249" w:type="dxa"/>
            <w:tcBorders>
              <w:top w:val="single" w:sz="4" w:space="0" w:color="E36C0A"/>
              <w:left w:val="single" w:sz="4" w:space="0" w:color="E36C0A"/>
              <w:bottom w:val="single" w:sz="4" w:space="0" w:color="E36C0A"/>
              <w:right w:val="single" w:sz="4" w:space="0" w:color="E36C0A"/>
            </w:tcBorders>
            <w:shd w:fill="E36C0A" w:val="clear"/>
          </w:tcPr>
          <w:p>
            <w:pPr>
              <w:pStyle w:val="Contenidodelatabla"/>
              <w:spacing w:before="0" w:after="200"/>
              <w:jc w:val="center"/>
              <w:rPr>
                <w:rFonts w:ascii="Arial" w:hAnsi="Arial"/>
                <w:color w:val="FFFFFF"/>
                <w:sz w:val="18"/>
                <w:szCs w:val="18"/>
              </w:rPr>
            </w:pPr>
            <w:r>
              <w:rPr>
                <w:rFonts w:ascii="Arial" w:hAnsi="Arial"/>
                <w:color w:val="FFFFFF"/>
                <w:sz w:val="18"/>
                <w:szCs w:val="18"/>
              </w:rPr>
              <w:t>CATEGORÍA</w:t>
            </w:r>
          </w:p>
        </w:tc>
      </w:tr>
      <w:tr>
        <w:trPr/>
        <w:tc>
          <w:tcPr>
            <w:tcW w:w="3248" w:type="dxa"/>
            <w:tcBorders>
              <w:left w:val="single" w:sz="4" w:space="0" w:color="E36C0A"/>
              <w:bottom w:val="single" w:sz="4" w:space="0" w:color="E36C0A"/>
            </w:tcBorders>
          </w:tcPr>
          <w:p>
            <w:pPr>
              <w:pStyle w:val="Contenidodelatabla"/>
              <w:spacing w:before="0" w:after="200"/>
              <w:jc w:val="center"/>
              <w:rPr>
                <w:rFonts w:ascii="Arial" w:hAnsi="Arial"/>
                <w:sz w:val="18"/>
                <w:szCs w:val="18"/>
              </w:rPr>
            </w:pPr>
            <w:r>
              <w:rPr>
                <w:rFonts w:ascii="Arial" w:hAnsi="Arial"/>
                <w:sz w:val="18"/>
                <w:szCs w:val="18"/>
              </w:rPr>
              <w:t>Calgary</w:t>
            </w:r>
          </w:p>
        </w:tc>
        <w:tc>
          <w:tcPr>
            <w:tcW w:w="3249" w:type="dxa"/>
            <w:tcBorders>
              <w:left w:val="single" w:sz="4" w:space="0" w:color="E36C0A"/>
              <w:bottom w:val="single" w:sz="4" w:space="0" w:color="E36C0A"/>
            </w:tcBorders>
          </w:tcPr>
          <w:p>
            <w:pPr>
              <w:pStyle w:val="Contenidodelatabla"/>
              <w:spacing w:before="0" w:after="200"/>
              <w:jc w:val="center"/>
              <w:rPr>
                <w:rFonts w:ascii="Arial" w:hAnsi="Arial"/>
                <w:sz w:val="18"/>
                <w:szCs w:val="18"/>
              </w:rPr>
            </w:pPr>
            <w:r>
              <w:rPr>
                <w:rFonts w:ascii="Arial" w:hAnsi="Arial"/>
                <w:sz w:val="18"/>
                <w:szCs w:val="18"/>
              </w:rPr>
              <w:t>ARTS</w:t>
            </w:r>
          </w:p>
        </w:tc>
        <w:tc>
          <w:tcPr>
            <w:tcW w:w="3249" w:type="dxa"/>
            <w:vMerge w:val="restart"/>
            <w:tcBorders>
              <w:left w:val="single" w:sz="4" w:space="0" w:color="E36C0A"/>
              <w:bottom w:val="single" w:sz="4" w:space="0" w:color="E36C0A"/>
              <w:right w:val="single" w:sz="4" w:space="0" w:color="E36C0A"/>
            </w:tcBorders>
          </w:tcPr>
          <w:p>
            <w:pPr>
              <w:pStyle w:val="Contenidodelatabla"/>
              <w:spacing w:before="285" w:after="428"/>
              <w:jc w:val="center"/>
              <w:rPr>
                <w:rFonts w:ascii="Arial" w:hAnsi="Arial"/>
                <w:sz w:val="18"/>
                <w:szCs w:val="18"/>
              </w:rPr>
            </w:pPr>
            <w:r>
              <w:rPr>
                <w:rFonts w:ascii="Arial" w:hAnsi="Arial"/>
                <w:sz w:val="18"/>
                <w:szCs w:val="18"/>
              </w:rPr>
              <w:t xml:space="preserve">Primera </w:t>
            </w:r>
          </w:p>
        </w:tc>
      </w:tr>
      <w:tr>
        <w:trPr>
          <w:trHeight w:val="363" w:hRule="atLeast"/>
        </w:trPr>
        <w:tc>
          <w:tcPr>
            <w:tcW w:w="3248" w:type="dxa"/>
            <w:tcBorders>
              <w:left w:val="single" w:sz="4" w:space="0" w:color="E36C0A"/>
              <w:bottom w:val="single" w:sz="4" w:space="0" w:color="E36C0A"/>
            </w:tcBorders>
          </w:tcPr>
          <w:p>
            <w:pPr>
              <w:pStyle w:val="Contenidodelatabla"/>
              <w:spacing w:before="0" w:after="200"/>
              <w:jc w:val="center"/>
              <w:rPr>
                <w:rFonts w:ascii="Arial" w:hAnsi="Arial"/>
                <w:sz w:val="18"/>
                <w:szCs w:val="18"/>
              </w:rPr>
            </w:pPr>
            <w:r>
              <w:rPr>
                <w:rFonts w:ascii="Arial" w:hAnsi="Arial"/>
                <w:sz w:val="18"/>
                <w:szCs w:val="18"/>
              </w:rPr>
              <w:t>Banff</w:t>
            </w:r>
          </w:p>
        </w:tc>
        <w:tc>
          <w:tcPr>
            <w:tcW w:w="3249" w:type="dxa"/>
            <w:tcBorders>
              <w:left w:val="single" w:sz="4" w:space="0" w:color="E36C0A"/>
              <w:bottom w:val="single" w:sz="4" w:space="0" w:color="E36C0A"/>
            </w:tcBorders>
          </w:tcPr>
          <w:p>
            <w:pPr>
              <w:pStyle w:val="Contenidodelatabla"/>
              <w:spacing w:before="0" w:after="200"/>
              <w:jc w:val="center"/>
              <w:rPr>
                <w:rFonts w:ascii="Arial" w:hAnsi="Arial"/>
                <w:sz w:val="18"/>
                <w:szCs w:val="18"/>
              </w:rPr>
            </w:pPr>
            <w:r>
              <w:rPr>
                <w:rFonts w:ascii="Arial" w:hAnsi="Arial"/>
                <w:sz w:val="18"/>
                <w:szCs w:val="18"/>
              </w:rPr>
              <w:t xml:space="preserve">Mount Roral </w:t>
            </w:r>
          </w:p>
        </w:tc>
        <w:tc>
          <w:tcPr>
            <w:tcW w:w="3249" w:type="dxa"/>
            <w:vMerge w:val="continue"/>
            <w:tcBorders>
              <w:left w:val="single" w:sz="4" w:space="0" w:color="E36C0A"/>
              <w:bottom w:val="single" w:sz="4" w:space="0" w:color="E36C0A"/>
              <w:right w:val="single" w:sz="4" w:space="0" w:color="E36C0A"/>
            </w:tcBorders>
          </w:tcPr>
          <w:p>
            <w:pPr>
              <w:pStyle w:val="Contenidodelatabla"/>
              <w:spacing w:before="0" w:after="200"/>
              <w:rPr>
                <w:rFonts w:ascii="Arial" w:hAnsi="Arial"/>
                <w:sz w:val="18"/>
                <w:szCs w:val="18"/>
              </w:rPr>
            </w:pPr>
            <w:r>
              <w:rPr>
                <w:rFonts w:ascii="Arial" w:hAnsi="Arial"/>
                <w:sz w:val="18"/>
                <w:szCs w:val="18"/>
              </w:rPr>
            </w:r>
          </w:p>
        </w:tc>
      </w:tr>
    </w:tbl>
    <w:p>
      <w:pPr>
        <w:pStyle w:val="Normal"/>
        <w:spacing w:lineRule="auto" w:line="240" w:before="0" w:after="0"/>
        <w:jc w:val="both"/>
        <w:rPr>
          <w:rFonts w:ascii="Arial" w:hAnsi="Arial"/>
          <w:sz w:val="18"/>
          <w:szCs w:val="18"/>
        </w:rPr>
      </w:pPr>
      <w:r>
        <w:rPr>
          <w:rFonts w:ascii="Arial" w:hAnsi="Arial"/>
          <w:sz w:val="18"/>
          <w:szCs w:val="18"/>
        </w:rPr>
      </w:r>
    </w:p>
    <w:tbl>
      <w:tblPr>
        <w:tblW w:w="5000" w:type="pct"/>
        <w:jc w:val="left"/>
        <w:tblInd w:w="55" w:type="dxa"/>
        <w:tblLayout w:type="fixed"/>
        <w:tblCellMar>
          <w:top w:w="55" w:type="dxa"/>
          <w:left w:w="55" w:type="dxa"/>
          <w:bottom w:w="55" w:type="dxa"/>
          <w:right w:w="55" w:type="dxa"/>
        </w:tblCellMar>
      </w:tblPr>
      <w:tblGrid>
        <w:gridCol w:w="3248"/>
        <w:gridCol w:w="3249"/>
        <w:gridCol w:w="3249"/>
      </w:tblGrid>
      <w:tr>
        <w:trPr/>
        <w:tc>
          <w:tcPr>
            <w:tcW w:w="3248" w:type="dxa"/>
            <w:tcBorders>
              <w:top w:val="single" w:sz="4" w:space="0" w:color="E36C0A"/>
              <w:left w:val="single" w:sz="4" w:space="0" w:color="E36C0A"/>
              <w:bottom w:val="single" w:sz="4" w:space="0" w:color="E36C0A"/>
            </w:tcBorders>
            <w:shd w:fill="E36C0A" w:val="clear"/>
          </w:tcPr>
          <w:p>
            <w:pPr>
              <w:pStyle w:val="Contenidodelatabla"/>
              <w:spacing w:before="0" w:after="200"/>
              <w:jc w:val="center"/>
              <w:rPr>
                <w:rFonts w:ascii="Arial" w:hAnsi="Arial"/>
                <w:color w:val="FFFFFF"/>
                <w:sz w:val="18"/>
                <w:szCs w:val="18"/>
              </w:rPr>
            </w:pPr>
            <w:r>
              <w:rPr>
                <w:rFonts w:ascii="Arial" w:hAnsi="Arial"/>
                <w:color w:val="FFFFFF"/>
                <w:sz w:val="18"/>
                <w:szCs w:val="18"/>
              </w:rPr>
              <w:t>CIUDAD</w:t>
            </w:r>
          </w:p>
        </w:tc>
        <w:tc>
          <w:tcPr>
            <w:tcW w:w="3249" w:type="dxa"/>
            <w:tcBorders>
              <w:top w:val="single" w:sz="4" w:space="0" w:color="E36C0A"/>
              <w:left w:val="single" w:sz="4" w:space="0" w:color="E36C0A"/>
              <w:bottom w:val="single" w:sz="4" w:space="0" w:color="E36C0A"/>
            </w:tcBorders>
            <w:shd w:fill="E36C0A" w:val="clear"/>
          </w:tcPr>
          <w:p>
            <w:pPr>
              <w:pStyle w:val="Contenidodelatabla"/>
              <w:spacing w:before="0" w:after="200"/>
              <w:jc w:val="center"/>
              <w:rPr>
                <w:rFonts w:ascii="Arial" w:hAnsi="Arial"/>
                <w:color w:val="FFFFFF"/>
                <w:sz w:val="18"/>
                <w:szCs w:val="18"/>
              </w:rPr>
            </w:pPr>
            <w:r>
              <w:rPr>
                <w:rFonts w:ascii="Arial" w:hAnsi="Arial"/>
                <w:color w:val="FFFFFF"/>
                <w:sz w:val="18"/>
                <w:szCs w:val="18"/>
              </w:rPr>
              <w:t>HOTEL</w:t>
            </w:r>
          </w:p>
        </w:tc>
        <w:tc>
          <w:tcPr>
            <w:tcW w:w="3249" w:type="dxa"/>
            <w:tcBorders>
              <w:top w:val="single" w:sz="4" w:space="0" w:color="E36C0A"/>
              <w:left w:val="single" w:sz="4" w:space="0" w:color="E36C0A"/>
              <w:bottom w:val="single" w:sz="4" w:space="0" w:color="E36C0A"/>
              <w:right w:val="single" w:sz="4" w:space="0" w:color="E36C0A"/>
            </w:tcBorders>
            <w:shd w:fill="E36C0A" w:val="clear"/>
          </w:tcPr>
          <w:p>
            <w:pPr>
              <w:pStyle w:val="Contenidodelatabla"/>
              <w:spacing w:before="0" w:after="200"/>
              <w:jc w:val="center"/>
              <w:rPr>
                <w:rFonts w:ascii="Arial" w:hAnsi="Arial"/>
                <w:color w:val="FFFFFF"/>
                <w:sz w:val="18"/>
                <w:szCs w:val="18"/>
              </w:rPr>
            </w:pPr>
            <w:r>
              <w:rPr>
                <w:rFonts w:ascii="Arial" w:hAnsi="Arial"/>
                <w:color w:val="FFFFFF"/>
                <w:sz w:val="18"/>
                <w:szCs w:val="18"/>
              </w:rPr>
              <w:t>CATEGORÍA</w:t>
            </w:r>
          </w:p>
        </w:tc>
      </w:tr>
      <w:tr>
        <w:trPr/>
        <w:tc>
          <w:tcPr>
            <w:tcW w:w="3248" w:type="dxa"/>
            <w:tcBorders>
              <w:left w:val="single" w:sz="4" w:space="0" w:color="E36C0A"/>
              <w:bottom w:val="single" w:sz="4" w:space="0" w:color="E36C0A"/>
            </w:tcBorders>
          </w:tcPr>
          <w:p>
            <w:pPr>
              <w:pStyle w:val="Contenidodelatabla"/>
              <w:spacing w:before="0" w:after="200"/>
              <w:jc w:val="center"/>
              <w:rPr>
                <w:rFonts w:ascii="Arial" w:hAnsi="Arial"/>
                <w:sz w:val="18"/>
                <w:szCs w:val="18"/>
              </w:rPr>
            </w:pPr>
            <w:r>
              <w:rPr>
                <w:rFonts w:ascii="Arial" w:hAnsi="Arial"/>
                <w:sz w:val="18"/>
                <w:szCs w:val="18"/>
              </w:rPr>
              <w:t>Calgary</w:t>
            </w:r>
          </w:p>
        </w:tc>
        <w:tc>
          <w:tcPr>
            <w:tcW w:w="3249" w:type="dxa"/>
            <w:tcBorders>
              <w:left w:val="single" w:sz="4" w:space="0" w:color="E36C0A"/>
              <w:bottom w:val="single" w:sz="4" w:space="0" w:color="E36C0A"/>
            </w:tcBorders>
          </w:tcPr>
          <w:p>
            <w:pPr>
              <w:pStyle w:val="Contenidodelatabla"/>
              <w:spacing w:before="0" w:after="200"/>
              <w:jc w:val="center"/>
              <w:rPr>
                <w:rFonts w:ascii="Arial" w:hAnsi="Arial"/>
                <w:sz w:val="18"/>
                <w:szCs w:val="18"/>
              </w:rPr>
            </w:pPr>
            <w:r>
              <w:rPr>
                <w:rFonts w:ascii="Arial" w:hAnsi="Arial"/>
                <w:sz w:val="18"/>
                <w:szCs w:val="18"/>
              </w:rPr>
              <w:t>Le Germain  Hotel *</w:t>
            </w:r>
          </w:p>
        </w:tc>
        <w:tc>
          <w:tcPr>
            <w:tcW w:w="3249" w:type="dxa"/>
            <w:vMerge w:val="restart"/>
            <w:tcBorders>
              <w:left w:val="single" w:sz="4" w:space="0" w:color="E36C0A"/>
              <w:bottom w:val="single" w:sz="4" w:space="0" w:color="E36C0A"/>
              <w:right w:val="single" w:sz="4" w:space="0" w:color="E36C0A"/>
            </w:tcBorders>
          </w:tcPr>
          <w:p>
            <w:pPr>
              <w:pStyle w:val="Contenidodelatabla"/>
              <w:spacing w:before="285" w:after="428"/>
              <w:jc w:val="center"/>
              <w:rPr>
                <w:rFonts w:ascii="Arial" w:hAnsi="Arial"/>
                <w:sz w:val="18"/>
                <w:szCs w:val="18"/>
              </w:rPr>
            </w:pPr>
            <w:r>
              <w:rPr>
                <w:rFonts w:ascii="Arial" w:hAnsi="Arial"/>
                <w:sz w:val="18"/>
                <w:szCs w:val="18"/>
              </w:rPr>
              <w:t xml:space="preserve">Primera  Superior </w:t>
            </w:r>
          </w:p>
        </w:tc>
      </w:tr>
      <w:tr>
        <w:trPr>
          <w:trHeight w:val="363" w:hRule="atLeast"/>
        </w:trPr>
        <w:tc>
          <w:tcPr>
            <w:tcW w:w="3248" w:type="dxa"/>
            <w:tcBorders>
              <w:left w:val="single" w:sz="4" w:space="0" w:color="E36C0A"/>
              <w:bottom w:val="single" w:sz="4" w:space="0" w:color="E36C0A"/>
            </w:tcBorders>
          </w:tcPr>
          <w:p>
            <w:pPr>
              <w:pStyle w:val="Contenidodelatabla"/>
              <w:spacing w:before="0" w:after="200"/>
              <w:jc w:val="center"/>
              <w:rPr>
                <w:rFonts w:ascii="Arial" w:hAnsi="Arial"/>
                <w:sz w:val="18"/>
                <w:szCs w:val="18"/>
              </w:rPr>
            </w:pPr>
            <w:r>
              <w:rPr>
                <w:rFonts w:ascii="Arial" w:hAnsi="Arial"/>
                <w:sz w:val="18"/>
                <w:szCs w:val="18"/>
              </w:rPr>
              <w:t>Banff</w:t>
            </w:r>
          </w:p>
        </w:tc>
        <w:tc>
          <w:tcPr>
            <w:tcW w:w="3249" w:type="dxa"/>
            <w:tcBorders>
              <w:left w:val="single" w:sz="4" w:space="0" w:color="E36C0A"/>
              <w:bottom w:val="single" w:sz="4" w:space="0" w:color="E36C0A"/>
            </w:tcBorders>
          </w:tcPr>
          <w:p>
            <w:pPr>
              <w:pStyle w:val="Contenidodelatabla"/>
              <w:spacing w:before="0" w:after="200"/>
              <w:jc w:val="center"/>
              <w:rPr>
                <w:rFonts w:ascii="Arial" w:hAnsi="Arial"/>
                <w:sz w:val="18"/>
                <w:szCs w:val="18"/>
              </w:rPr>
            </w:pPr>
            <w:r>
              <w:rPr>
                <w:rFonts w:ascii="Arial" w:hAnsi="Arial"/>
                <w:sz w:val="18"/>
                <w:szCs w:val="18"/>
              </w:rPr>
              <w:t>Moose Hotel &amp; Suites</w:t>
            </w:r>
          </w:p>
        </w:tc>
        <w:tc>
          <w:tcPr>
            <w:tcW w:w="3249" w:type="dxa"/>
            <w:vMerge w:val="continue"/>
            <w:tcBorders>
              <w:left w:val="single" w:sz="4" w:space="0" w:color="E36C0A"/>
              <w:bottom w:val="single" w:sz="4" w:space="0" w:color="E36C0A"/>
              <w:right w:val="single" w:sz="4" w:space="0" w:color="E36C0A"/>
            </w:tcBorders>
          </w:tcPr>
          <w:p>
            <w:pPr>
              <w:pStyle w:val="Contenidodelatabla"/>
              <w:spacing w:before="0" w:after="200"/>
              <w:rPr>
                <w:rFonts w:ascii="Arial" w:hAnsi="Arial"/>
                <w:sz w:val="18"/>
                <w:szCs w:val="18"/>
              </w:rPr>
            </w:pPr>
            <w:r>
              <w:rPr>
                <w:rFonts w:ascii="Arial" w:hAnsi="Arial"/>
                <w:sz w:val="18"/>
                <w:szCs w:val="18"/>
              </w:rPr>
            </w:r>
          </w:p>
        </w:tc>
      </w:tr>
    </w:tbl>
    <w:p>
      <w:pPr>
        <w:pStyle w:val="Normal"/>
        <w:spacing w:lineRule="auto" w:line="240" w:before="0" w:after="0"/>
        <w:jc w:val="both"/>
        <w:rPr>
          <w:rFonts w:ascii="Arial" w:hAnsi="Arial"/>
          <w:sz w:val="18"/>
          <w:szCs w:val="18"/>
        </w:rPr>
      </w:pPr>
      <w:r>
        <w:rPr>
          <w:rFonts w:ascii="Arial" w:hAnsi="Arial"/>
          <w:sz w:val="18"/>
          <w:szCs w:val="18"/>
        </w:rPr>
      </w:r>
    </w:p>
    <w:tbl>
      <w:tblPr>
        <w:tblW w:w="5000" w:type="pct"/>
        <w:jc w:val="left"/>
        <w:tblInd w:w="55" w:type="dxa"/>
        <w:tblLayout w:type="fixed"/>
        <w:tblCellMar>
          <w:top w:w="55" w:type="dxa"/>
          <w:left w:w="55" w:type="dxa"/>
          <w:bottom w:w="55" w:type="dxa"/>
          <w:right w:w="55" w:type="dxa"/>
        </w:tblCellMar>
      </w:tblPr>
      <w:tblGrid>
        <w:gridCol w:w="3248"/>
        <w:gridCol w:w="3249"/>
        <w:gridCol w:w="3249"/>
      </w:tblGrid>
      <w:tr>
        <w:trPr/>
        <w:tc>
          <w:tcPr>
            <w:tcW w:w="3248" w:type="dxa"/>
            <w:tcBorders>
              <w:top w:val="single" w:sz="4" w:space="0" w:color="E36C0A"/>
              <w:left w:val="single" w:sz="4" w:space="0" w:color="E36C0A"/>
              <w:bottom w:val="single" w:sz="4" w:space="0" w:color="E36C0A"/>
            </w:tcBorders>
            <w:shd w:fill="E36C0A" w:val="clear"/>
          </w:tcPr>
          <w:p>
            <w:pPr>
              <w:pStyle w:val="Contenidodelatabla"/>
              <w:spacing w:before="0" w:after="200"/>
              <w:jc w:val="center"/>
              <w:rPr>
                <w:rFonts w:ascii="Arial" w:hAnsi="Arial"/>
                <w:color w:val="FFFFFF"/>
                <w:sz w:val="18"/>
                <w:szCs w:val="18"/>
              </w:rPr>
            </w:pPr>
            <w:r>
              <w:rPr>
                <w:rFonts w:ascii="Arial" w:hAnsi="Arial"/>
                <w:color w:val="FFFFFF"/>
                <w:sz w:val="18"/>
                <w:szCs w:val="18"/>
              </w:rPr>
              <w:t>CIUDAD</w:t>
            </w:r>
          </w:p>
        </w:tc>
        <w:tc>
          <w:tcPr>
            <w:tcW w:w="3249" w:type="dxa"/>
            <w:tcBorders>
              <w:top w:val="single" w:sz="4" w:space="0" w:color="E36C0A"/>
              <w:left w:val="single" w:sz="4" w:space="0" w:color="E36C0A"/>
              <w:bottom w:val="single" w:sz="4" w:space="0" w:color="E36C0A"/>
            </w:tcBorders>
            <w:shd w:fill="E36C0A" w:val="clear"/>
          </w:tcPr>
          <w:p>
            <w:pPr>
              <w:pStyle w:val="Contenidodelatabla"/>
              <w:spacing w:before="0" w:after="200"/>
              <w:jc w:val="center"/>
              <w:rPr>
                <w:rFonts w:ascii="Arial" w:hAnsi="Arial"/>
                <w:color w:val="FFFFFF"/>
                <w:sz w:val="18"/>
                <w:szCs w:val="18"/>
              </w:rPr>
            </w:pPr>
            <w:r>
              <w:rPr>
                <w:rFonts w:ascii="Arial" w:hAnsi="Arial"/>
                <w:color w:val="FFFFFF"/>
                <w:sz w:val="18"/>
                <w:szCs w:val="18"/>
              </w:rPr>
              <w:t>HOTEL</w:t>
            </w:r>
          </w:p>
        </w:tc>
        <w:tc>
          <w:tcPr>
            <w:tcW w:w="3249" w:type="dxa"/>
            <w:tcBorders>
              <w:top w:val="single" w:sz="4" w:space="0" w:color="E36C0A"/>
              <w:left w:val="single" w:sz="4" w:space="0" w:color="E36C0A"/>
              <w:bottom w:val="single" w:sz="4" w:space="0" w:color="E36C0A"/>
              <w:right w:val="single" w:sz="4" w:space="0" w:color="E36C0A"/>
            </w:tcBorders>
            <w:shd w:fill="E36C0A" w:val="clear"/>
          </w:tcPr>
          <w:p>
            <w:pPr>
              <w:pStyle w:val="Contenidodelatabla"/>
              <w:spacing w:before="0" w:after="200"/>
              <w:jc w:val="center"/>
              <w:rPr>
                <w:rFonts w:ascii="Arial" w:hAnsi="Arial"/>
                <w:color w:val="FFFFFF"/>
                <w:sz w:val="18"/>
                <w:szCs w:val="18"/>
              </w:rPr>
            </w:pPr>
            <w:r>
              <w:rPr>
                <w:rFonts w:ascii="Arial" w:hAnsi="Arial"/>
                <w:color w:val="FFFFFF"/>
                <w:sz w:val="18"/>
                <w:szCs w:val="18"/>
              </w:rPr>
              <w:t>CATEGORÍA</w:t>
            </w:r>
          </w:p>
        </w:tc>
      </w:tr>
      <w:tr>
        <w:trPr>
          <w:trHeight w:val="749" w:hRule="atLeast"/>
        </w:trPr>
        <w:tc>
          <w:tcPr>
            <w:tcW w:w="3248" w:type="dxa"/>
            <w:tcBorders>
              <w:left w:val="single" w:sz="4" w:space="0" w:color="E36C0A"/>
              <w:bottom w:val="single" w:sz="4" w:space="0" w:color="E36C0A"/>
            </w:tcBorders>
          </w:tcPr>
          <w:p>
            <w:pPr>
              <w:pStyle w:val="Contenidodelatabla"/>
              <w:spacing w:lineRule="auto" w:line="240" w:before="228" w:after="428"/>
              <w:jc w:val="center"/>
              <w:rPr>
                <w:rFonts w:ascii="Arial" w:hAnsi="Arial"/>
                <w:sz w:val="18"/>
                <w:szCs w:val="18"/>
              </w:rPr>
            </w:pPr>
            <w:r>
              <w:rPr>
                <w:rFonts w:ascii="Arial" w:hAnsi="Arial"/>
                <w:sz w:val="18"/>
                <w:szCs w:val="18"/>
              </w:rPr>
              <w:t>Calgary</w:t>
            </w:r>
          </w:p>
        </w:tc>
        <w:tc>
          <w:tcPr>
            <w:tcW w:w="3249" w:type="dxa"/>
            <w:tcBorders>
              <w:left w:val="single" w:sz="4" w:space="0" w:color="E36C0A"/>
              <w:bottom w:val="single" w:sz="4" w:space="0" w:color="E36C0A"/>
            </w:tcBorders>
          </w:tcPr>
          <w:p>
            <w:pPr>
              <w:pStyle w:val="Contenidodelatabla"/>
              <w:spacing w:lineRule="auto" w:line="240" w:before="228" w:after="428"/>
              <w:jc w:val="center"/>
              <w:rPr>
                <w:rFonts w:ascii="Arial" w:hAnsi="Arial"/>
                <w:sz w:val="18"/>
                <w:szCs w:val="18"/>
              </w:rPr>
            </w:pPr>
            <w:r>
              <w:rPr>
                <w:rFonts w:ascii="Arial" w:hAnsi="Arial"/>
                <w:sz w:val="18"/>
                <w:szCs w:val="18"/>
              </w:rPr>
              <w:t xml:space="preserve">Fairmont Palliser </w:t>
            </w:r>
          </w:p>
        </w:tc>
        <w:tc>
          <w:tcPr>
            <w:tcW w:w="3249" w:type="dxa"/>
            <w:tcBorders>
              <w:left w:val="single" w:sz="4" w:space="0" w:color="E36C0A"/>
              <w:bottom w:val="single" w:sz="4" w:space="0" w:color="E36C0A"/>
              <w:right w:val="single" w:sz="4" w:space="0" w:color="E36C0A"/>
            </w:tcBorders>
          </w:tcPr>
          <w:p>
            <w:pPr>
              <w:pStyle w:val="Contenidodelatabla"/>
              <w:spacing w:lineRule="auto" w:line="240" w:before="285" w:after="428"/>
              <w:jc w:val="center"/>
              <w:rPr>
                <w:rFonts w:ascii="Arial" w:hAnsi="Arial"/>
                <w:sz w:val="18"/>
                <w:szCs w:val="18"/>
              </w:rPr>
            </w:pPr>
            <w:r>
              <w:rPr>
                <w:rFonts w:ascii="Arial" w:hAnsi="Arial"/>
                <w:sz w:val="18"/>
                <w:szCs w:val="18"/>
              </w:rPr>
              <w:t xml:space="preserve">Superior </w:t>
            </w:r>
          </w:p>
        </w:tc>
      </w:tr>
      <w:tr>
        <w:trPr>
          <w:trHeight w:val="558" w:hRule="atLeast"/>
        </w:trPr>
        <w:tc>
          <w:tcPr>
            <w:tcW w:w="3248" w:type="dxa"/>
            <w:tcBorders>
              <w:left w:val="single" w:sz="4" w:space="0" w:color="E36C0A"/>
              <w:bottom w:val="single" w:sz="4" w:space="0" w:color="E36C0A"/>
            </w:tcBorders>
          </w:tcPr>
          <w:p>
            <w:pPr>
              <w:pStyle w:val="Contenidodelatabla"/>
              <w:spacing w:before="0" w:after="200"/>
              <w:jc w:val="center"/>
              <w:rPr>
                <w:rFonts w:ascii="Arial" w:hAnsi="Arial"/>
                <w:sz w:val="18"/>
                <w:szCs w:val="18"/>
              </w:rPr>
            </w:pPr>
            <w:r>
              <w:rPr>
                <w:rFonts w:ascii="Arial" w:hAnsi="Arial"/>
                <w:sz w:val="18"/>
                <w:szCs w:val="18"/>
              </w:rPr>
              <w:t>Banff</w:t>
            </w:r>
          </w:p>
        </w:tc>
        <w:tc>
          <w:tcPr>
            <w:tcW w:w="3249" w:type="dxa"/>
            <w:tcBorders>
              <w:left w:val="single" w:sz="4" w:space="0" w:color="E36C0A"/>
              <w:bottom w:val="single" w:sz="4" w:space="0" w:color="E36C0A"/>
            </w:tcBorders>
          </w:tcPr>
          <w:p>
            <w:pPr>
              <w:pStyle w:val="Contenidodelatabla"/>
              <w:spacing w:before="0" w:after="200"/>
              <w:jc w:val="center"/>
              <w:rPr>
                <w:rFonts w:ascii="Arial" w:hAnsi="Arial"/>
                <w:sz w:val="18"/>
                <w:szCs w:val="18"/>
              </w:rPr>
            </w:pPr>
            <w:r>
              <w:rPr>
                <w:rFonts w:ascii="Arial" w:hAnsi="Arial"/>
                <w:sz w:val="18"/>
                <w:szCs w:val="18"/>
              </w:rPr>
              <w:t xml:space="preserve">Fairmont Banff Springs </w:t>
            </w:r>
          </w:p>
        </w:tc>
        <w:tc>
          <w:tcPr>
            <w:tcW w:w="3249" w:type="dxa"/>
            <w:tcBorders>
              <w:left w:val="single" w:sz="4" w:space="0" w:color="E36C0A"/>
              <w:bottom w:val="single" w:sz="4" w:space="0" w:color="E36C0A"/>
              <w:right w:val="single" w:sz="4" w:space="0" w:color="E36C0A"/>
            </w:tcBorders>
          </w:tcPr>
          <w:p>
            <w:pPr>
              <w:pStyle w:val="Contenidodelatabla"/>
              <w:spacing w:before="0" w:after="200"/>
              <w:jc w:val="center"/>
              <w:rPr>
                <w:rFonts w:ascii="Arial" w:hAnsi="Arial"/>
                <w:sz w:val="18"/>
                <w:szCs w:val="18"/>
              </w:rPr>
            </w:pPr>
            <w:r>
              <w:rPr>
                <w:rFonts w:ascii="Arial" w:hAnsi="Arial"/>
                <w:sz w:val="18"/>
                <w:szCs w:val="18"/>
              </w:rPr>
              <w:t xml:space="preserve">Superior / Lujo </w:t>
            </w:r>
          </w:p>
        </w:tc>
      </w:tr>
    </w:tbl>
    <w:p>
      <w:pPr>
        <w:pStyle w:val="Normal"/>
        <w:spacing w:lineRule="auto" w:line="240" w:before="0" w:after="0"/>
        <w:jc w:val="both"/>
        <w:rPr>
          <w:rFonts w:ascii="Arial" w:hAnsi="Arial" w:cs="Arial"/>
          <w:b/>
          <w:b/>
          <w:bCs/>
          <w:i/>
          <w:i/>
          <w:iCs/>
          <w:color w:val="000000" w:themeColor="text1"/>
          <w:sz w:val="18"/>
          <w:szCs w:val="18"/>
        </w:rPr>
      </w:pPr>
      <w:r>
        <w:rPr/>
      </w:r>
    </w:p>
    <w:p>
      <w:pPr>
        <w:pStyle w:val="Normal"/>
        <w:spacing w:lineRule="auto" w:line="240" w:before="0" w:after="0"/>
        <w:jc w:val="both"/>
        <w:rPr>
          <w:rFonts w:ascii="Arial" w:hAnsi="Arial" w:cs="Arial"/>
          <w:b/>
          <w:b/>
          <w:bCs/>
          <w:i/>
          <w:i/>
          <w:iCs/>
          <w:color w:val="000000" w:themeColor="text1"/>
          <w:sz w:val="18"/>
          <w:szCs w:val="18"/>
        </w:rPr>
      </w:pPr>
      <w:r>
        <w:rPr>
          <w:rFonts w:cs="Arial" w:ascii="Arial" w:hAnsi="Arial"/>
          <w:b/>
          <w:bCs/>
          <w:i/>
          <w:iCs/>
          <w:color w:val="000000" w:themeColor="text1"/>
          <w:sz w:val="18"/>
          <w:szCs w:val="18"/>
        </w:rPr>
        <w:t>Nota</w:t>
      </w:r>
      <w:r>
        <w:rPr>
          <w:rFonts w:cs="Arial" w:ascii="Arial" w:hAnsi="Arial"/>
          <w:b/>
          <w:bCs/>
          <w:i/>
          <w:iCs/>
          <w:color w:val="000000" w:themeColor="text1"/>
          <w:sz w:val="18"/>
          <w:szCs w:val="18"/>
        </w:rPr>
        <w:t>s</w:t>
      </w:r>
      <w:r>
        <w:rPr>
          <w:rFonts w:cs="Arial" w:ascii="Arial" w:hAnsi="Arial"/>
          <w:b/>
          <w:bCs/>
          <w:i/>
          <w:iCs/>
          <w:color w:val="000000" w:themeColor="text1"/>
          <w:sz w:val="18"/>
          <w:szCs w:val="18"/>
        </w:rPr>
        <w:t>: El hotelería será reconfirmados 30 días antes de la salida. Los hoteles serán confirmados en base a los publicados en el programa, pudiendo variar en función de la disponibilidad en el momento de recibir la solicitud de reserva. Las habitaciones de los hoteles son categoría estándar, que en la mayoría de los casos no tiene vistas. En caso de requerir vistas específicas no dude en consultar suplemento.</w:t>
      </w:r>
    </w:p>
    <w:p>
      <w:pPr>
        <w:pStyle w:val="Normal"/>
        <w:spacing w:lineRule="auto" w:line="240" w:before="0" w:after="0"/>
        <w:jc w:val="both"/>
        <w:rPr>
          <w:rFonts w:ascii="Arial" w:hAnsi="Arial" w:cs="Arial"/>
          <w:b/>
          <w:b/>
          <w:bCs/>
          <w:i/>
          <w:i/>
          <w:iCs/>
          <w:color w:val="000000" w:themeColor="text1"/>
          <w:sz w:val="18"/>
          <w:szCs w:val="18"/>
        </w:rPr>
      </w:pPr>
      <w:r>
        <w:rPr>
          <w:rFonts w:cs="Arial" w:ascii="Arial" w:hAnsi="Arial"/>
          <w:b/>
          <w:bCs/>
          <w:i/>
          <w:iCs/>
          <w:color w:val="000000" w:themeColor="text1"/>
          <w:sz w:val="18"/>
          <w:szCs w:val="18"/>
        </w:rPr>
        <w:t>*Le Germain Hotel es el ÚNICO hotel que incluye desayuno.</w:t>
      </w:r>
    </w:p>
    <w:p>
      <w:pPr>
        <w:pStyle w:val="Normal"/>
        <w:spacing w:lineRule="auto" w:line="240" w:before="0" w:after="0"/>
        <w:rPr>
          <w:rFonts w:ascii="Arial" w:hAnsi="Arial" w:eastAsia="Times New Roman" w:cs="Arial"/>
          <w:b/>
          <w:b/>
          <w:i/>
          <w:i/>
          <w:iCs/>
          <w:color w:val="E36C0A" w:themeColor="accent6" w:themeShade="bf"/>
          <w:sz w:val="20"/>
          <w:szCs w:val="20"/>
          <w:u w:val="single"/>
          <w:lang w:eastAsia="es-ES"/>
        </w:rPr>
      </w:pPr>
      <w:r>
        <w:rPr>
          <w:rFonts w:eastAsia="Times New Roman" w:cs="Arial" w:ascii="Arial" w:hAnsi="Arial"/>
          <w:b/>
          <w:i/>
          <w:iCs/>
          <w:color w:val="E36C0A" w:themeColor="accent6" w:themeShade="bf"/>
          <w:sz w:val="20"/>
          <w:szCs w:val="20"/>
          <w:u w:val="single"/>
          <w:lang w:eastAsia="es-ES"/>
        </w:rPr>
      </w:r>
    </w:p>
    <w:p>
      <w:pPr>
        <w:pStyle w:val="Normal"/>
        <w:spacing w:lineRule="auto" w:line="240" w:before="0" w:after="0"/>
        <w:rPr>
          <w:rFonts w:ascii="Arial" w:hAnsi="Arial" w:eastAsia="Times New Roman" w:cs="Arial"/>
          <w:b/>
          <w:b/>
          <w:color w:val="E36C0A" w:themeColor="accent6" w:themeShade="bf"/>
          <w:sz w:val="18"/>
          <w:szCs w:val="20"/>
          <w:lang w:eastAsia="es-ES"/>
        </w:rPr>
      </w:pPr>
      <w:r>
        <w:rPr>
          <w:rFonts w:eastAsia="Times New Roman" w:cs="Arial" w:ascii="Arial" w:hAnsi="Arial"/>
          <w:b/>
          <w:color w:val="E36C0A" w:themeColor="accent6" w:themeShade="bf"/>
          <w:sz w:val="18"/>
          <w:szCs w:val="20"/>
          <w:u w:val="single"/>
          <w:lang w:eastAsia="es-ES"/>
        </w:rPr>
        <w:t>PRECIO POR PERSONA EN USD</w:t>
      </w:r>
      <w:r>
        <w:rPr>
          <w:rFonts w:eastAsia="Times New Roman" w:cs="Arial" w:ascii="Arial" w:hAnsi="Arial"/>
          <w:b/>
          <w:color w:val="E36C0A" w:themeColor="accent6" w:themeShade="bf"/>
          <w:sz w:val="18"/>
          <w:szCs w:val="20"/>
          <w:lang w:eastAsia="es-ES"/>
        </w:rPr>
        <w:t xml:space="preserve">:  </w:t>
      </w:r>
    </w:p>
    <w:p>
      <w:pPr>
        <w:pStyle w:val="Normal"/>
        <w:spacing w:lineRule="auto" w:line="240" w:before="0" w:after="0"/>
        <w:rPr>
          <w:rFonts w:ascii="Arial" w:hAnsi="Arial" w:eastAsia="Times New Roman" w:cs="Arial"/>
          <w:b/>
          <w:b/>
          <w:color w:val="E36C0A" w:themeColor="accent6" w:themeShade="bf"/>
          <w:sz w:val="14"/>
          <w:szCs w:val="16"/>
          <w:lang w:eastAsia="es-ES"/>
        </w:rPr>
      </w:pPr>
      <w:r>
        <w:rPr/>
      </w:r>
    </w:p>
    <w:tbl>
      <w:tblPr>
        <w:tblW w:w="9750" w:type="dxa"/>
        <w:jc w:val="left"/>
        <w:tblInd w:w="55" w:type="dxa"/>
        <w:tblLayout w:type="fixed"/>
        <w:tblCellMar>
          <w:top w:w="55" w:type="dxa"/>
          <w:left w:w="55" w:type="dxa"/>
          <w:bottom w:w="55" w:type="dxa"/>
          <w:right w:w="55" w:type="dxa"/>
        </w:tblCellMar>
      </w:tblPr>
      <w:tblGrid>
        <w:gridCol w:w="2668"/>
        <w:gridCol w:w="1243"/>
        <w:gridCol w:w="1135"/>
        <w:gridCol w:w="1451"/>
        <w:gridCol w:w="1624"/>
        <w:gridCol w:w="1629"/>
      </w:tblGrid>
      <w:tr>
        <w:trPr/>
        <w:tc>
          <w:tcPr>
            <w:tcW w:w="9750" w:type="dxa"/>
            <w:gridSpan w:val="6"/>
            <w:tcBorders>
              <w:top w:val="single" w:sz="6" w:space="0" w:color="E36C0A"/>
              <w:left w:val="single" w:sz="6" w:space="0" w:color="E36C0A"/>
              <w:bottom w:val="single" w:sz="6" w:space="0" w:color="E36C0A"/>
              <w:right w:val="single" w:sz="6" w:space="0" w:color="E36C0A"/>
            </w:tcBorders>
            <w:shd w:fill="000000" w:val="clear"/>
          </w:tcPr>
          <w:p>
            <w:pPr>
              <w:pStyle w:val="Contenidodelatabla"/>
              <w:spacing w:before="0" w:after="200"/>
              <w:jc w:val="center"/>
              <w:rPr>
                <w:rFonts w:ascii="Arial" w:hAnsi="Arial"/>
                <w:color w:val="FFFFFF"/>
                <w:sz w:val="18"/>
                <w:szCs w:val="18"/>
              </w:rPr>
            </w:pPr>
            <w:r>
              <w:rPr>
                <w:rFonts w:ascii="Arial" w:hAnsi="Arial"/>
                <w:color w:val="FFFFFF"/>
                <w:sz w:val="18"/>
                <w:szCs w:val="18"/>
              </w:rPr>
              <w:t xml:space="preserve">CLASE PRIMERA </w:t>
            </w:r>
          </w:p>
        </w:tc>
      </w:tr>
      <w:tr>
        <w:trPr/>
        <w:tc>
          <w:tcPr>
            <w:tcW w:w="2668" w:type="dxa"/>
            <w:tcBorders>
              <w:left w:val="single" w:sz="6" w:space="0" w:color="E36C0A"/>
              <w:bottom w:val="single" w:sz="6" w:space="0" w:color="E36C0A"/>
            </w:tcBorders>
            <w:shd w:fill="E36C0A" w:val="clear"/>
          </w:tcPr>
          <w:p>
            <w:pPr>
              <w:pStyle w:val="Contenidodelatabla"/>
              <w:spacing w:before="0" w:after="200"/>
              <w:jc w:val="center"/>
              <w:rPr>
                <w:rFonts w:ascii="Arial" w:hAnsi="Arial"/>
                <w:color w:val="FFFFFF"/>
                <w:sz w:val="18"/>
                <w:szCs w:val="18"/>
              </w:rPr>
            </w:pPr>
            <w:r>
              <w:rPr>
                <w:rFonts w:ascii="Arial" w:hAnsi="Arial"/>
                <w:color w:val="FFFFFF"/>
                <w:sz w:val="18"/>
                <w:szCs w:val="18"/>
              </w:rPr>
              <w:t xml:space="preserve">SALIDAS: DIARIAS </w:t>
            </w:r>
          </w:p>
        </w:tc>
        <w:tc>
          <w:tcPr>
            <w:tcW w:w="1243" w:type="dxa"/>
            <w:tcBorders>
              <w:left w:val="single" w:sz="6" w:space="0" w:color="E36C0A"/>
              <w:bottom w:val="single" w:sz="6" w:space="0" w:color="E36C0A"/>
            </w:tcBorders>
            <w:shd w:fill="E36C0A" w:val="clear"/>
          </w:tcPr>
          <w:p>
            <w:pPr>
              <w:pStyle w:val="Contenidodelatabla"/>
              <w:spacing w:before="0" w:after="200"/>
              <w:jc w:val="center"/>
              <w:rPr>
                <w:rFonts w:ascii="Arial" w:hAnsi="Arial"/>
                <w:color w:val="FFFFFF"/>
                <w:sz w:val="18"/>
                <w:szCs w:val="18"/>
              </w:rPr>
            </w:pPr>
            <w:r>
              <w:rPr>
                <w:rFonts w:ascii="Arial" w:hAnsi="Arial"/>
                <w:color w:val="FFFFFF"/>
                <w:sz w:val="18"/>
                <w:szCs w:val="18"/>
              </w:rPr>
              <w:t>Sencilla</w:t>
            </w:r>
          </w:p>
        </w:tc>
        <w:tc>
          <w:tcPr>
            <w:tcW w:w="1135" w:type="dxa"/>
            <w:tcBorders>
              <w:left w:val="single" w:sz="6" w:space="0" w:color="E36C0A"/>
              <w:bottom w:val="single" w:sz="6" w:space="0" w:color="E36C0A"/>
            </w:tcBorders>
            <w:shd w:fill="E36C0A" w:val="clear"/>
          </w:tcPr>
          <w:p>
            <w:pPr>
              <w:pStyle w:val="Contenidodelatabla"/>
              <w:spacing w:before="0" w:after="200"/>
              <w:jc w:val="center"/>
              <w:rPr>
                <w:rFonts w:ascii="Arial" w:hAnsi="Arial"/>
                <w:color w:val="FFFFFF"/>
                <w:sz w:val="18"/>
                <w:szCs w:val="18"/>
              </w:rPr>
            </w:pPr>
            <w:r>
              <w:rPr>
                <w:rFonts w:ascii="Arial" w:hAnsi="Arial"/>
                <w:color w:val="FFFFFF"/>
                <w:sz w:val="18"/>
                <w:szCs w:val="18"/>
              </w:rPr>
              <w:t xml:space="preserve">Doble </w:t>
            </w:r>
          </w:p>
        </w:tc>
        <w:tc>
          <w:tcPr>
            <w:tcW w:w="1451" w:type="dxa"/>
            <w:tcBorders>
              <w:left w:val="single" w:sz="6" w:space="0" w:color="E36C0A"/>
              <w:bottom w:val="single" w:sz="6" w:space="0" w:color="E36C0A"/>
            </w:tcBorders>
            <w:shd w:fill="E36C0A" w:val="clear"/>
          </w:tcPr>
          <w:p>
            <w:pPr>
              <w:pStyle w:val="Contenidodelatabla"/>
              <w:spacing w:before="0" w:after="200"/>
              <w:jc w:val="center"/>
              <w:rPr>
                <w:rFonts w:ascii="Arial" w:hAnsi="Arial"/>
                <w:color w:val="FFFFFF"/>
                <w:sz w:val="18"/>
                <w:szCs w:val="18"/>
              </w:rPr>
            </w:pPr>
            <w:r>
              <w:rPr>
                <w:rFonts w:ascii="Arial" w:hAnsi="Arial"/>
                <w:color w:val="FFFFFF"/>
                <w:sz w:val="18"/>
                <w:szCs w:val="18"/>
              </w:rPr>
              <w:t xml:space="preserve">Triple </w:t>
            </w:r>
          </w:p>
        </w:tc>
        <w:tc>
          <w:tcPr>
            <w:tcW w:w="1624" w:type="dxa"/>
            <w:tcBorders>
              <w:left w:val="single" w:sz="6" w:space="0" w:color="E36C0A"/>
              <w:bottom w:val="single" w:sz="6" w:space="0" w:color="E36C0A"/>
            </w:tcBorders>
            <w:shd w:fill="E36C0A" w:val="clear"/>
          </w:tcPr>
          <w:p>
            <w:pPr>
              <w:pStyle w:val="Contenidodelatabla"/>
              <w:spacing w:before="0" w:after="200"/>
              <w:jc w:val="center"/>
              <w:rPr>
                <w:rFonts w:ascii="Arial" w:hAnsi="Arial"/>
                <w:color w:val="FFFFFF"/>
                <w:sz w:val="18"/>
                <w:szCs w:val="18"/>
              </w:rPr>
            </w:pPr>
            <w:r>
              <w:rPr>
                <w:rFonts w:ascii="Arial" w:hAnsi="Arial"/>
                <w:color w:val="FFFFFF"/>
                <w:sz w:val="18"/>
                <w:szCs w:val="18"/>
              </w:rPr>
              <w:t xml:space="preserve">Cuádruple </w:t>
            </w:r>
          </w:p>
        </w:tc>
        <w:tc>
          <w:tcPr>
            <w:tcW w:w="1629" w:type="dxa"/>
            <w:tcBorders>
              <w:left w:val="single" w:sz="6" w:space="0" w:color="E36C0A"/>
              <w:bottom w:val="single" w:sz="6" w:space="0" w:color="E36C0A"/>
              <w:right w:val="single" w:sz="6" w:space="0" w:color="E36C0A"/>
            </w:tcBorders>
            <w:shd w:fill="E36C0A" w:val="clear"/>
          </w:tcPr>
          <w:p>
            <w:pPr>
              <w:pStyle w:val="Contenidodelatabla"/>
              <w:spacing w:before="0" w:after="200"/>
              <w:jc w:val="center"/>
              <w:rPr>
                <w:rFonts w:ascii="Arial" w:hAnsi="Arial"/>
                <w:color w:val="FFFFFF"/>
                <w:sz w:val="18"/>
                <w:szCs w:val="18"/>
              </w:rPr>
            </w:pPr>
            <w:r>
              <w:rPr>
                <w:rFonts w:ascii="Arial" w:hAnsi="Arial"/>
                <w:color w:val="FFFFFF"/>
                <w:sz w:val="18"/>
                <w:szCs w:val="18"/>
              </w:rPr>
              <w:t>MNR 0-1</w:t>
            </w:r>
            <w:r>
              <w:rPr>
                <w:rFonts w:ascii="Arial" w:hAnsi="Arial"/>
                <w:color w:val="FFFFFF"/>
                <w:sz w:val="18"/>
                <w:szCs w:val="18"/>
              </w:rPr>
              <w:t>2</w:t>
            </w:r>
          </w:p>
        </w:tc>
      </w:tr>
      <w:tr>
        <w:trPr/>
        <w:tc>
          <w:tcPr>
            <w:tcW w:w="2668"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01/11/2024- 15/12/2024</w:t>
            </w:r>
          </w:p>
        </w:tc>
        <w:tc>
          <w:tcPr>
            <w:tcW w:w="1243"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USD  1,993</w:t>
            </w:r>
          </w:p>
        </w:tc>
        <w:tc>
          <w:tcPr>
            <w:tcW w:w="1135"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 xml:space="preserve">USD 1,172 </w:t>
            </w:r>
          </w:p>
        </w:tc>
        <w:tc>
          <w:tcPr>
            <w:tcW w:w="1451"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USD  976</w:t>
            </w:r>
          </w:p>
        </w:tc>
        <w:tc>
          <w:tcPr>
            <w:tcW w:w="1624"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USD 890</w:t>
            </w:r>
          </w:p>
        </w:tc>
        <w:tc>
          <w:tcPr>
            <w:tcW w:w="1629" w:type="dxa"/>
            <w:tcBorders>
              <w:left w:val="single" w:sz="6" w:space="0" w:color="E36C0A"/>
              <w:bottom w:val="single" w:sz="6" w:space="0" w:color="E36C0A"/>
              <w:right w:val="single" w:sz="6" w:space="0" w:color="E36C0A"/>
            </w:tcBorders>
          </w:tcPr>
          <w:p>
            <w:pPr>
              <w:pStyle w:val="Contenidodelatabla"/>
              <w:spacing w:before="0" w:after="200"/>
              <w:jc w:val="center"/>
              <w:rPr>
                <w:rFonts w:ascii="Arial" w:hAnsi="Arial"/>
                <w:sz w:val="18"/>
                <w:szCs w:val="18"/>
              </w:rPr>
            </w:pPr>
            <w:r>
              <w:rPr>
                <w:rFonts w:ascii="Arial" w:hAnsi="Arial"/>
                <w:sz w:val="18"/>
                <w:szCs w:val="18"/>
              </w:rPr>
              <w:t>USD  482</w:t>
            </w:r>
          </w:p>
        </w:tc>
      </w:tr>
      <w:tr>
        <w:trPr/>
        <w:tc>
          <w:tcPr>
            <w:tcW w:w="2668"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16/12/2024 - 31/12/2024</w:t>
            </w:r>
          </w:p>
        </w:tc>
        <w:tc>
          <w:tcPr>
            <w:tcW w:w="1243"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USD 2,895</w:t>
            </w:r>
          </w:p>
        </w:tc>
        <w:tc>
          <w:tcPr>
            <w:tcW w:w="1135"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USD 1,626</w:t>
            </w:r>
          </w:p>
        </w:tc>
        <w:tc>
          <w:tcPr>
            <w:tcW w:w="1451"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USD 1,278</w:t>
            </w:r>
          </w:p>
        </w:tc>
        <w:tc>
          <w:tcPr>
            <w:tcW w:w="1624"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USD 1,122</w:t>
            </w:r>
          </w:p>
        </w:tc>
        <w:tc>
          <w:tcPr>
            <w:tcW w:w="1629" w:type="dxa"/>
            <w:tcBorders>
              <w:left w:val="single" w:sz="6" w:space="0" w:color="E36C0A"/>
              <w:bottom w:val="single" w:sz="6" w:space="0" w:color="E36C0A"/>
              <w:right w:val="single" w:sz="6" w:space="0" w:color="E36C0A"/>
            </w:tcBorders>
          </w:tcPr>
          <w:p>
            <w:pPr>
              <w:pStyle w:val="Contenidodelatabla"/>
              <w:spacing w:before="0" w:after="200"/>
              <w:jc w:val="center"/>
              <w:rPr>
                <w:rFonts w:ascii="Arial" w:hAnsi="Arial"/>
                <w:sz w:val="18"/>
                <w:szCs w:val="18"/>
              </w:rPr>
            </w:pPr>
            <w:r>
              <w:rPr>
                <w:rFonts w:ascii="Arial" w:hAnsi="Arial"/>
                <w:sz w:val="18"/>
                <w:szCs w:val="18"/>
              </w:rPr>
              <w:t>USD 482</w:t>
            </w:r>
          </w:p>
        </w:tc>
      </w:tr>
      <w:tr>
        <w:trPr>
          <w:trHeight w:val="872" w:hRule="atLeast"/>
        </w:trPr>
        <w:tc>
          <w:tcPr>
            <w:tcW w:w="2668" w:type="dxa"/>
            <w:tcBorders>
              <w:left w:val="single" w:sz="6" w:space="0" w:color="E36C0A"/>
              <w:bottom w:val="single" w:sz="6" w:space="0" w:color="E36C0A"/>
            </w:tcBorders>
          </w:tcPr>
          <w:p>
            <w:pPr>
              <w:pStyle w:val="Contenidodelatabla"/>
              <w:jc w:val="center"/>
              <w:rPr>
                <w:rFonts w:ascii="Arial" w:hAnsi="Arial"/>
                <w:sz w:val="18"/>
                <w:szCs w:val="18"/>
              </w:rPr>
            </w:pPr>
            <w:r>
              <w:rPr>
                <w:rFonts w:ascii="Arial" w:hAnsi="Arial"/>
                <w:sz w:val="18"/>
                <w:szCs w:val="18"/>
              </w:rPr>
              <w:t xml:space="preserve">01/01/2025 – 26/04/2025 </w:t>
            </w:r>
          </w:p>
          <w:p>
            <w:pPr>
              <w:pStyle w:val="Contenidodelatabla"/>
              <w:spacing w:before="0" w:after="200"/>
              <w:jc w:val="center"/>
              <w:rPr>
                <w:rFonts w:ascii="Arial" w:hAnsi="Arial"/>
                <w:sz w:val="18"/>
                <w:szCs w:val="18"/>
              </w:rPr>
            </w:pPr>
            <w:r>
              <w:rPr>
                <w:rFonts w:ascii="Arial" w:hAnsi="Arial"/>
                <w:sz w:val="18"/>
                <w:szCs w:val="18"/>
              </w:rPr>
            </w:r>
          </w:p>
        </w:tc>
        <w:tc>
          <w:tcPr>
            <w:tcW w:w="1243"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USD  2,058</w:t>
            </w:r>
          </w:p>
        </w:tc>
        <w:tc>
          <w:tcPr>
            <w:tcW w:w="1135"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 xml:space="preserve"> </w:t>
            </w:r>
            <w:r>
              <w:rPr>
                <w:rFonts w:ascii="Arial" w:hAnsi="Arial"/>
                <w:sz w:val="18"/>
                <w:szCs w:val="18"/>
              </w:rPr>
              <w:t xml:space="preserve">USD 1,207 </w:t>
            </w:r>
          </w:p>
        </w:tc>
        <w:tc>
          <w:tcPr>
            <w:tcW w:w="1451" w:type="dxa"/>
            <w:tcBorders>
              <w:left w:val="single" w:sz="6" w:space="0" w:color="E36C0A"/>
              <w:bottom w:val="single" w:sz="6" w:space="0" w:color="E36C0A"/>
            </w:tcBorders>
          </w:tcPr>
          <w:p>
            <w:pPr>
              <w:pStyle w:val="Contenidodelatabla"/>
              <w:spacing w:before="0" w:after="86"/>
              <w:jc w:val="center"/>
              <w:rPr>
                <w:rFonts w:ascii="Arial" w:hAnsi="Arial"/>
                <w:sz w:val="18"/>
                <w:szCs w:val="18"/>
              </w:rPr>
            </w:pPr>
            <w:r>
              <w:rPr>
                <w:rFonts w:ascii="Arial" w:hAnsi="Arial"/>
                <w:sz w:val="18"/>
                <w:szCs w:val="18"/>
              </w:rPr>
              <w:t>USD 996</w:t>
            </w:r>
          </w:p>
        </w:tc>
        <w:tc>
          <w:tcPr>
            <w:tcW w:w="1624"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USD  910</w:t>
            </w:r>
          </w:p>
        </w:tc>
        <w:tc>
          <w:tcPr>
            <w:tcW w:w="1629" w:type="dxa"/>
            <w:tcBorders>
              <w:left w:val="single" w:sz="6" w:space="0" w:color="E36C0A"/>
              <w:bottom w:val="single" w:sz="6" w:space="0" w:color="E36C0A"/>
              <w:right w:val="single" w:sz="6" w:space="0" w:color="E36C0A"/>
            </w:tcBorders>
          </w:tcPr>
          <w:p>
            <w:pPr>
              <w:pStyle w:val="Contenidodelatabla"/>
              <w:spacing w:before="0" w:after="200"/>
              <w:jc w:val="center"/>
              <w:rPr>
                <w:rFonts w:ascii="Arial" w:hAnsi="Arial"/>
                <w:sz w:val="18"/>
                <w:szCs w:val="18"/>
              </w:rPr>
            </w:pPr>
            <w:r>
              <w:rPr>
                <w:rFonts w:ascii="Arial" w:hAnsi="Arial"/>
                <w:sz w:val="18"/>
                <w:szCs w:val="18"/>
              </w:rPr>
              <w:t>USD 482</w:t>
            </w:r>
          </w:p>
        </w:tc>
      </w:tr>
    </w:tbl>
    <w:p>
      <w:pPr>
        <w:pStyle w:val="Normal"/>
        <w:spacing w:lineRule="auto" w:line="240" w:before="0" w:after="0"/>
        <w:rPr>
          <w:rFonts w:ascii="Arial" w:hAnsi="Arial" w:eastAsia="Times New Roman" w:cs="Arial"/>
          <w:b/>
          <w:b/>
          <w:color w:val="E36C0A" w:themeColor="accent6" w:themeShade="bf"/>
          <w:sz w:val="14"/>
          <w:szCs w:val="16"/>
          <w:lang w:eastAsia="es-ES"/>
        </w:rPr>
      </w:pPr>
      <w:r>
        <w:rPr/>
      </w:r>
      <w:r>
        <w:br w:type="page"/>
      </w:r>
    </w:p>
    <w:p>
      <w:pPr>
        <w:pStyle w:val="Normal"/>
        <w:spacing w:lineRule="auto" w:line="240" w:before="0" w:after="0"/>
        <w:rPr/>
      </w:pPr>
      <w:r>
        <w:rPr/>
      </w:r>
    </w:p>
    <w:tbl>
      <w:tblPr>
        <w:tblW w:w="9750" w:type="dxa"/>
        <w:jc w:val="left"/>
        <w:tblInd w:w="55" w:type="dxa"/>
        <w:tblLayout w:type="fixed"/>
        <w:tblCellMar>
          <w:top w:w="55" w:type="dxa"/>
          <w:left w:w="55" w:type="dxa"/>
          <w:bottom w:w="55" w:type="dxa"/>
          <w:right w:w="55" w:type="dxa"/>
        </w:tblCellMar>
      </w:tblPr>
      <w:tblGrid>
        <w:gridCol w:w="2668"/>
        <w:gridCol w:w="1243"/>
        <w:gridCol w:w="1135"/>
        <w:gridCol w:w="1451"/>
        <w:gridCol w:w="1624"/>
        <w:gridCol w:w="1629"/>
      </w:tblGrid>
      <w:tr>
        <w:trPr/>
        <w:tc>
          <w:tcPr>
            <w:tcW w:w="9750" w:type="dxa"/>
            <w:gridSpan w:val="6"/>
            <w:tcBorders>
              <w:top w:val="single" w:sz="6" w:space="0" w:color="E36C0A"/>
              <w:left w:val="single" w:sz="6" w:space="0" w:color="E36C0A"/>
              <w:bottom w:val="single" w:sz="6" w:space="0" w:color="E36C0A"/>
              <w:right w:val="single" w:sz="6" w:space="0" w:color="E36C0A"/>
            </w:tcBorders>
            <w:shd w:fill="000000" w:val="clear"/>
          </w:tcPr>
          <w:p>
            <w:pPr>
              <w:pStyle w:val="Contenidodelatabla"/>
              <w:spacing w:before="0" w:after="200"/>
              <w:jc w:val="center"/>
              <w:rPr>
                <w:rFonts w:ascii="Arial" w:hAnsi="Arial"/>
                <w:color w:val="FFFFFF"/>
                <w:sz w:val="18"/>
                <w:szCs w:val="18"/>
              </w:rPr>
            </w:pPr>
            <w:r>
              <w:rPr>
                <w:rFonts w:ascii="Arial" w:hAnsi="Arial"/>
                <w:color w:val="FFFFFF"/>
                <w:sz w:val="18"/>
                <w:szCs w:val="18"/>
              </w:rPr>
              <w:t xml:space="preserve">CLASE PRIMERA   </w:t>
            </w:r>
            <w:r>
              <w:rPr>
                <w:rFonts w:ascii="Arial" w:hAnsi="Arial"/>
                <w:color w:val="FFFFFF"/>
                <w:sz w:val="18"/>
                <w:szCs w:val="18"/>
              </w:rPr>
              <w:t xml:space="preserve">SUPERIOR </w:t>
            </w:r>
          </w:p>
        </w:tc>
      </w:tr>
      <w:tr>
        <w:trPr/>
        <w:tc>
          <w:tcPr>
            <w:tcW w:w="2668" w:type="dxa"/>
            <w:tcBorders>
              <w:left w:val="single" w:sz="6" w:space="0" w:color="E36C0A"/>
              <w:bottom w:val="single" w:sz="6" w:space="0" w:color="E36C0A"/>
            </w:tcBorders>
            <w:shd w:fill="E36C0A" w:val="clear"/>
          </w:tcPr>
          <w:p>
            <w:pPr>
              <w:pStyle w:val="Contenidodelatabla"/>
              <w:spacing w:before="0" w:after="200"/>
              <w:jc w:val="center"/>
              <w:rPr>
                <w:rFonts w:ascii="Arial" w:hAnsi="Arial"/>
                <w:color w:val="FFFFFF"/>
                <w:sz w:val="18"/>
                <w:szCs w:val="18"/>
              </w:rPr>
            </w:pPr>
            <w:r>
              <w:rPr>
                <w:rFonts w:ascii="Arial" w:hAnsi="Arial"/>
                <w:color w:val="FFFFFF"/>
                <w:sz w:val="18"/>
                <w:szCs w:val="18"/>
              </w:rPr>
              <w:t xml:space="preserve">SALIDAS: DIARIAS </w:t>
            </w:r>
          </w:p>
        </w:tc>
        <w:tc>
          <w:tcPr>
            <w:tcW w:w="1243" w:type="dxa"/>
            <w:tcBorders>
              <w:left w:val="single" w:sz="6" w:space="0" w:color="E36C0A"/>
              <w:bottom w:val="single" w:sz="6" w:space="0" w:color="E36C0A"/>
            </w:tcBorders>
            <w:shd w:fill="E36C0A" w:val="clear"/>
          </w:tcPr>
          <w:p>
            <w:pPr>
              <w:pStyle w:val="Contenidodelatabla"/>
              <w:spacing w:before="0" w:after="200"/>
              <w:jc w:val="center"/>
              <w:rPr>
                <w:rFonts w:ascii="Arial" w:hAnsi="Arial"/>
                <w:color w:val="FFFFFF"/>
                <w:sz w:val="18"/>
                <w:szCs w:val="18"/>
              </w:rPr>
            </w:pPr>
            <w:r>
              <w:rPr>
                <w:rFonts w:ascii="Arial" w:hAnsi="Arial"/>
                <w:color w:val="FFFFFF"/>
                <w:sz w:val="18"/>
                <w:szCs w:val="18"/>
              </w:rPr>
              <w:t>Sencilla</w:t>
            </w:r>
          </w:p>
        </w:tc>
        <w:tc>
          <w:tcPr>
            <w:tcW w:w="1135" w:type="dxa"/>
            <w:tcBorders>
              <w:left w:val="single" w:sz="6" w:space="0" w:color="E36C0A"/>
              <w:bottom w:val="single" w:sz="6" w:space="0" w:color="E36C0A"/>
            </w:tcBorders>
            <w:shd w:fill="E36C0A" w:val="clear"/>
          </w:tcPr>
          <w:p>
            <w:pPr>
              <w:pStyle w:val="Contenidodelatabla"/>
              <w:spacing w:before="0" w:after="200"/>
              <w:jc w:val="center"/>
              <w:rPr>
                <w:rFonts w:ascii="Arial" w:hAnsi="Arial"/>
                <w:color w:val="FFFFFF"/>
                <w:sz w:val="18"/>
                <w:szCs w:val="18"/>
              </w:rPr>
            </w:pPr>
            <w:r>
              <w:rPr>
                <w:rFonts w:ascii="Arial" w:hAnsi="Arial"/>
                <w:color w:val="FFFFFF"/>
                <w:sz w:val="18"/>
                <w:szCs w:val="18"/>
              </w:rPr>
              <w:t xml:space="preserve">Doble </w:t>
            </w:r>
          </w:p>
        </w:tc>
        <w:tc>
          <w:tcPr>
            <w:tcW w:w="1451" w:type="dxa"/>
            <w:tcBorders>
              <w:left w:val="single" w:sz="6" w:space="0" w:color="E36C0A"/>
              <w:bottom w:val="single" w:sz="6" w:space="0" w:color="E36C0A"/>
            </w:tcBorders>
            <w:shd w:fill="E36C0A" w:val="clear"/>
          </w:tcPr>
          <w:p>
            <w:pPr>
              <w:pStyle w:val="Contenidodelatabla"/>
              <w:spacing w:before="0" w:after="200"/>
              <w:jc w:val="center"/>
              <w:rPr>
                <w:rFonts w:ascii="Arial" w:hAnsi="Arial"/>
                <w:color w:val="FFFFFF"/>
                <w:sz w:val="18"/>
                <w:szCs w:val="18"/>
              </w:rPr>
            </w:pPr>
            <w:r>
              <w:rPr>
                <w:rFonts w:ascii="Arial" w:hAnsi="Arial"/>
                <w:color w:val="FFFFFF"/>
                <w:sz w:val="18"/>
                <w:szCs w:val="18"/>
              </w:rPr>
              <w:t xml:space="preserve">Triple </w:t>
            </w:r>
          </w:p>
        </w:tc>
        <w:tc>
          <w:tcPr>
            <w:tcW w:w="1624" w:type="dxa"/>
            <w:tcBorders>
              <w:left w:val="single" w:sz="6" w:space="0" w:color="E36C0A"/>
              <w:bottom w:val="single" w:sz="6" w:space="0" w:color="E36C0A"/>
            </w:tcBorders>
            <w:shd w:fill="E36C0A" w:val="clear"/>
          </w:tcPr>
          <w:p>
            <w:pPr>
              <w:pStyle w:val="Contenidodelatabla"/>
              <w:spacing w:before="0" w:after="200"/>
              <w:jc w:val="center"/>
              <w:rPr>
                <w:rFonts w:ascii="Arial" w:hAnsi="Arial"/>
                <w:color w:val="FFFFFF"/>
                <w:sz w:val="18"/>
                <w:szCs w:val="18"/>
              </w:rPr>
            </w:pPr>
            <w:r>
              <w:rPr>
                <w:rFonts w:ascii="Arial" w:hAnsi="Arial"/>
                <w:color w:val="FFFFFF"/>
                <w:sz w:val="18"/>
                <w:szCs w:val="18"/>
              </w:rPr>
              <w:t xml:space="preserve">Cuádruple </w:t>
            </w:r>
          </w:p>
        </w:tc>
        <w:tc>
          <w:tcPr>
            <w:tcW w:w="1629" w:type="dxa"/>
            <w:tcBorders>
              <w:left w:val="single" w:sz="6" w:space="0" w:color="E36C0A"/>
              <w:bottom w:val="single" w:sz="6" w:space="0" w:color="E36C0A"/>
              <w:right w:val="single" w:sz="6" w:space="0" w:color="E36C0A"/>
            </w:tcBorders>
            <w:shd w:fill="E36C0A" w:val="clear"/>
          </w:tcPr>
          <w:p>
            <w:pPr>
              <w:pStyle w:val="Contenidodelatabla"/>
              <w:spacing w:before="0" w:after="200"/>
              <w:jc w:val="center"/>
              <w:rPr>
                <w:rFonts w:ascii="Arial" w:hAnsi="Arial"/>
                <w:color w:val="FFFFFF"/>
                <w:sz w:val="18"/>
                <w:szCs w:val="18"/>
              </w:rPr>
            </w:pPr>
            <w:r>
              <w:rPr>
                <w:rFonts w:ascii="Arial" w:hAnsi="Arial"/>
                <w:color w:val="FFFFFF"/>
                <w:sz w:val="18"/>
                <w:szCs w:val="18"/>
              </w:rPr>
              <w:t>MNR 0-1</w:t>
            </w:r>
            <w:r>
              <w:rPr>
                <w:rFonts w:ascii="Arial" w:hAnsi="Arial"/>
                <w:color w:val="FFFFFF"/>
                <w:sz w:val="18"/>
                <w:szCs w:val="18"/>
              </w:rPr>
              <w:t>2</w:t>
            </w:r>
          </w:p>
        </w:tc>
      </w:tr>
      <w:tr>
        <w:trPr/>
        <w:tc>
          <w:tcPr>
            <w:tcW w:w="2668" w:type="dxa"/>
            <w:tcBorders>
              <w:left w:val="single" w:sz="6" w:space="0" w:color="E36C0A"/>
              <w:bottom w:val="single" w:sz="6" w:space="0" w:color="E36C0A"/>
            </w:tcBorders>
          </w:tcPr>
          <w:p>
            <w:pPr>
              <w:pStyle w:val="Contenidodelatabla"/>
              <w:jc w:val="center"/>
              <w:rPr>
                <w:rFonts w:ascii="Arial" w:hAnsi="Arial"/>
                <w:sz w:val="18"/>
                <w:szCs w:val="18"/>
              </w:rPr>
            </w:pPr>
            <w:r>
              <w:rPr>
                <w:rFonts w:ascii="Arial" w:hAnsi="Arial"/>
                <w:sz w:val="18"/>
                <w:szCs w:val="18"/>
              </w:rPr>
              <w:t>01/11/2024- 15/12/2024</w:t>
            </w:r>
          </w:p>
          <w:p>
            <w:pPr>
              <w:pStyle w:val="Contenidodelatabla"/>
              <w:spacing w:before="0" w:after="200"/>
              <w:jc w:val="center"/>
              <w:rPr>
                <w:rFonts w:ascii="Arial" w:hAnsi="Arial"/>
                <w:sz w:val="18"/>
                <w:szCs w:val="18"/>
              </w:rPr>
            </w:pPr>
            <w:r>
              <w:rPr>
                <w:rFonts w:ascii="Arial" w:hAnsi="Arial"/>
                <w:sz w:val="18"/>
                <w:szCs w:val="18"/>
              </w:rPr>
              <w:t xml:space="preserve">04/01/2025 – 02/02/2025 </w:t>
            </w:r>
          </w:p>
        </w:tc>
        <w:tc>
          <w:tcPr>
            <w:tcW w:w="1243"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 xml:space="preserve">USD   </w:t>
            </w:r>
            <w:r>
              <w:rPr>
                <w:rFonts w:ascii="Arial" w:hAnsi="Arial"/>
                <w:sz w:val="18"/>
                <w:szCs w:val="18"/>
              </w:rPr>
              <w:t>2,422</w:t>
            </w:r>
          </w:p>
        </w:tc>
        <w:tc>
          <w:tcPr>
            <w:tcW w:w="1135"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USD 1,</w:t>
            </w:r>
            <w:r>
              <w:rPr>
                <w:rFonts w:ascii="Arial" w:hAnsi="Arial"/>
                <w:sz w:val="18"/>
                <w:szCs w:val="18"/>
              </w:rPr>
              <w:t>389</w:t>
            </w:r>
            <w:r>
              <w:rPr>
                <w:rFonts w:ascii="Arial" w:hAnsi="Arial"/>
                <w:sz w:val="18"/>
                <w:szCs w:val="18"/>
              </w:rPr>
              <w:t xml:space="preserve"> </w:t>
            </w:r>
          </w:p>
        </w:tc>
        <w:tc>
          <w:tcPr>
            <w:tcW w:w="1451"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 xml:space="preserve">USD   </w:t>
            </w:r>
            <w:r>
              <w:rPr>
                <w:rFonts w:ascii="Arial" w:hAnsi="Arial"/>
                <w:sz w:val="18"/>
                <w:szCs w:val="18"/>
              </w:rPr>
              <w:t>1, 127</w:t>
            </w:r>
          </w:p>
        </w:tc>
        <w:tc>
          <w:tcPr>
            <w:tcW w:w="1624"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 xml:space="preserve">USD  </w:t>
            </w:r>
            <w:r>
              <w:rPr>
                <w:rFonts w:ascii="Arial" w:hAnsi="Arial"/>
                <w:sz w:val="18"/>
                <w:szCs w:val="18"/>
              </w:rPr>
              <w:t>1,011</w:t>
            </w:r>
          </w:p>
        </w:tc>
        <w:tc>
          <w:tcPr>
            <w:tcW w:w="1629" w:type="dxa"/>
            <w:tcBorders>
              <w:left w:val="single" w:sz="6" w:space="0" w:color="E36C0A"/>
              <w:bottom w:val="single" w:sz="6" w:space="0" w:color="E36C0A"/>
              <w:right w:val="single" w:sz="6" w:space="0" w:color="E36C0A"/>
            </w:tcBorders>
          </w:tcPr>
          <w:p>
            <w:pPr>
              <w:pStyle w:val="Contenidodelatabla"/>
              <w:spacing w:before="0" w:after="200"/>
              <w:jc w:val="center"/>
              <w:rPr>
                <w:rFonts w:ascii="Arial" w:hAnsi="Arial"/>
                <w:sz w:val="18"/>
                <w:szCs w:val="18"/>
              </w:rPr>
            </w:pPr>
            <w:r>
              <w:rPr>
                <w:rFonts w:ascii="Arial" w:hAnsi="Arial"/>
                <w:sz w:val="18"/>
                <w:szCs w:val="18"/>
              </w:rPr>
              <w:t>USD  482</w:t>
            </w:r>
          </w:p>
        </w:tc>
      </w:tr>
      <w:tr>
        <w:trPr/>
        <w:tc>
          <w:tcPr>
            <w:tcW w:w="2668"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 xml:space="preserve">16/12/2024 - </w:t>
            </w:r>
            <w:r>
              <w:rPr>
                <w:rFonts w:ascii="Arial" w:hAnsi="Arial"/>
                <w:sz w:val="18"/>
                <w:szCs w:val="18"/>
              </w:rPr>
              <w:t>03</w:t>
            </w:r>
            <w:r>
              <w:rPr>
                <w:rFonts w:ascii="Arial" w:hAnsi="Arial"/>
                <w:sz w:val="18"/>
                <w:szCs w:val="18"/>
              </w:rPr>
              <w:t>/</w:t>
            </w:r>
            <w:r>
              <w:rPr>
                <w:rFonts w:ascii="Arial" w:hAnsi="Arial"/>
                <w:sz w:val="18"/>
                <w:szCs w:val="18"/>
              </w:rPr>
              <w:t>0</w:t>
            </w:r>
            <w:r>
              <w:rPr>
                <w:rFonts w:ascii="Arial" w:hAnsi="Arial"/>
                <w:sz w:val="18"/>
                <w:szCs w:val="18"/>
              </w:rPr>
              <w:t>1/202</w:t>
            </w:r>
            <w:r>
              <w:rPr>
                <w:rFonts w:ascii="Arial" w:hAnsi="Arial"/>
                <w:sz w:val="18"/>
                <w:szCs w:val="18"/>
              </w:rPr>
              <w:t>5</w:t>
            </w:r>
          </w:p>
        </w:tc>
        <w:tc>
          <w:tcPr>
            <w:tcW w:w="1243"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 xml:space="preserve">USD  </w:t>
            </w:r>
            <w:r>
              <w:rPr>
                <w:rFonts w:ascii="Arial" w:hAnsi="Arial"/>
                <w:sz w:val="18"/>
                <w:szCs w:val="18"/>
              </w:rPr>
              <w:t>4,144</w:t>
            </w:r>
          </w:p>
        </w:tc>
        <w:tc>
          <w:tcPr>
            <w:tcW w:w="1135"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USD 2,</w:t>
            </w:r>
            <w:r>
              <w:rPr>
                <w:rFonts w:ascii="Arial" w:hAnsi="Arial"/>
                <w:sz w:val="18"/>
                <w:szCs w:val="18"/>
              </w:rPr>
              <w:t>250</w:t>
            </w:r>
          </w:p>
        </w:tc>
        <w:tc>
          <w:tcPr>
            <w:tcW w:w="1451"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USD 1,7</w:t>
            </w:r>
            <w:r>
              <w:rPr>
                <w:rFonts w:ascii="Arial" w:hAnsi="Arial"/>
                <w:sz w:val="18"/>
                <w:szCs w:val="18"/>
              </w:rPr>
              <w:t>06</w:t>
            </w:r>
          </w:p>
        </w:tc>
        <w:tc>
          <w:tcPr>
            <w:tcW w:w="1624"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USD 1,</w:t>
            </w:r>
            <w:r>
              <w:rPr>
                <w:rFonts w:ascii="Arial" w:hAnsi="Arial"/>
                <w:sz w:val="18"/>
                <w:szCs w:val="18"/>
              </w:rPr>
              <w:t>444</w:t>
            </w:r>
          </w:p>
        </w:tc>
        <w:tc>
          <w:tcPr>
            <w:tcW w:w="1629" w:type="dxa"/>
            <w:tcBorders>
              <w:left w:val="single" w:sz="6" w:space="0" w:color="E36C0A"/>
              <w:bottom w:val="single" w:sz="6" w:space="0" w:color="E36C0A"/>
              <w:right w:val="single" w:sz="6" w:space="0" w:color="E36C0A"/>
            </w:tcBorders>
          </w:tcPr>
          <w:p>
            <w:pPr>
              <w:pStyle w:val="Contenidodelatabla"/>
              <w:spacing w:before="0" w:after="200"/>
              <w:jc w:val="center"/>
              <w:rPr>
                <w:rFonts w:ascii="Arial" w:hAnsi="Arial"/>
                <w:sz w:val="18"/>
                <w:szCs w:val="18"/>
              </w:rPr>
            </w:pPr>
            <w:r>
              <w:rPr>
                <w:rFonts w:ascii="Arial" w:hAnsi="Arial"/>
                <w:sz w:val="18"/>
                <w:szCs w:val="18"/>
              </w:rPr>
              <w:t>USD 482</w:t>
            </w:r>
          </w:p>
        </w:tc>
      </w:tr>
      <w:tr>
        <w:trPr>
          <w:trHeight w:val="872" w:hRule="atLeast"/>
        </w:trPr>
        <w:tc>
          <w:tcPr>
            <w:tcW w:w="2668" w:type="dxa"/>
            <w:tcBorders>
              <w:left w:val="single" w:sz="6" w:space="0" w:color="E36C0A"/>
              <w:bottom w:val="single" w:sz="6" w:space="0" w:color="E36C0A"/>
            </w:tcBorders>
          </w:tcPr>
          <w:p>
            <w:pPr>
              <w:pStyle w:val="Contenidodelatabla"/>
              <w:jc w:val="center"/>
              <w:rPr>
                <w:rFonts w:ascii="Arial" w:hAnsi="Arial"/>
                <w:sz w:val="18"/>
                <w:szCs w:val="18"/>
              </w:rPr>
            </w:pPr>
            <w:r>
              <w:rPr>
                <w:rFonts w:ascii="Arial" w:hAnsi="Arial"/>
                <w:sz w:val="18"/>
                <w:szCs w:val="18"/>
              </w:rPr>
              <w:t xml:space="preserve">01/01/2025 – 26/04/2025 </w:t>
            </w:r>
          </w:p>
          <w:p>
            <w:pPr>
              <w:pStyle w:val="Contenidodelatabla"/>
              <w:spacing w:before="0" w:after="200"/>
              <w:jc w:val="center"/>
              <w:rPr>
                <w:rFonts w:ascii="Arial" w:hAnsi="Arial"/>
                <w:sz w:val="18"/>
                <w:szCs w:val="18"/>
              </w:rPr>
            </w:pPr>
            <w:r>
              <w:rPr>
                <w:rFonts w:ascii="Arial" w:hAnsi="Arial"/>
                <w:sz w:val="18"/>
                <w:szCs w:val="18"/>
              </w:rPr>
            </w:r>
          </w:p>
        </w:tc>
        <w:tc>
          <w:tcPr>
            <w:tcW w:w="1243"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USD  2,</w:t>
            </w:r>
            <w:r>
              <w:rPr>
                <w:rFonts w:ascii="Arial" w:hAnsi="Arial"/>
                <w:sz w:val="18"/>
                <w:szCs w:val="18"/>
              </w:rPr>
              <w:t>935</w:t>
            </w:r>
          </w:p>
        </w:tc>
        <w:tc>
          <w:tcPr>
            <w:tcW w:w="1135"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 xml:space="preserve"> </w:t>
            </w:r>
            <w:r>
              <w:rPr>
                <w:rFonts w:ascii="Arial" w:hAnsi="Arial"/>
                <w:sz w:val="18"/>
                <w:szCs w:val="18"/>
              </w:rPr>
              <w:t>USD 1,</w:t>
            </w:r>
            <w:r>
              <w:rPr>
                <w:rFonts w:ascii="Arial" w:hAnsi="Arial"/>
                <w:sz w:val="18"/>
                <w:szCs w:val="18"/>
              </w:rPr>
              <w:t>646</w:t>
            </w:r>
            <w:r>
              <w:rPr>
                <w:rFonts w:ascii="Arial" w:hAnsi="Arial"/>
                <w:sz w:val="18"/>
                <w:szCs w:val="18"/>
              </w:rPr>
              <w:t xml:space="preserve"> </w:t>
            </w:r>
          </w:p>
        </w:tc>
        <w:tc>
          <w:tcPr>
            <w:tcW w:w="1451" w:type="dxa"/>
            <w:tcBorders>
              <w:left w:val="single" w:sz="6" w:space="0" w:color="E36C0A"/>
              <w:bottom w:val="single" w:sz="6" w:space="0" w:color="E36C0A"/>
            </w:tcBorders>
          </w:tcPr>
          <w:p>
            <w:pPr>
              <w:pStyle w:val="Contenidodelatabla"/>
              <w:spacing w:before="0" w:after="86"/>
              <w:jc w:val="center"/>
              <w:rPr>
                <w:rFonts w:ascii="Arial" w:hAnsi="Arial"/>
                <w:sz w:val="18"/>
                <w:szCs w:val="18"/>
              </w:rPr>
            </w:pPr>
            <w:r>
              <w:rPr>
                <w:rFonts w:ascii="Arial" w:hAnsi="Arial"/>
                <w:sz w:val="18"/>
                <w:szCs w:val="18"/>
              </w:rPr>
              <w:t xml:space="preserve">USD  </w:t>
            </w:r>
            <w:r>
              <w:rPr>
                <w:rFonts w:ascii="Arial" w:hAnsi="Arial"/>
                <w:sz w:val="18"/>
                <w:szCs w:val="18"/>
              </w:rPr>
              <w:t>1, 303</w:t>
            </w:r>
          </w:p>
        </w:tc>
        <w:tc>
          <w:tcPr>
            <w:tcW w:w="1624"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 xml:space="preserve">USD  </w:t>
            </w:r>
            <w:r>
              <w:rPr>
                <w:rFonts w:ascii="Arial" w:hAnsi="Arial"/>
                <w:sz w:val="18"/>
                <w:szCs w:val="18"/>
              </w:rPr>
              <w:t>1,142</w:t>
            </w:r>
          </w:p>
        </w:tc>
        <w:tc>
          <w:tcPr>
            <w:tcW w:w="1629" w:type="dxa"/>
            <w:tcBorders>
              <w:left w:val="single" w:sz="6" w:space="0" w:color="E36C0A"/>
              <w:bottom w:val="single" w:sz="6" w:space="0" w:color="E36C0A"/>
              <w:right w:val="single" w:sz="6" w:space="0" w:color="E36C0A"/>
            </w:tcBorders>
          </w:tcPr>
          <w:p>
            <w:pPr>
              <w:pStyle w:val="Contenidodelatabla"/>
              <w:spacing w:before="0" w:after="200"/>
              <w:jc w:val="center"/>
              <w:rPr>
                <w:rFonts w:ascii="Arial" w:hAnsi="Arial"/>
                <w:sz w:val="18"/>
                <w:szCs w:val="18"/>
              </w:rPr>
            </w:pPr>
            <w:r>
              <w:rPr>
                <w:rFonts w:ascii="Arial" w:hAnsi="Arial"/>
                <w:sz w:val="18"/>
                <w:szCs w:val="18"/>
              </w:rPr>
              <w:t>USD 482</w:t>
            </w:r>
          </w:p>
        </w:tc>
      </w:tr>
    </w:tbl>
    <w:p>
      <w:pPr>
        <w:pStyle w:val="Normal"/>
        <w:jc w:val="both"/>
        <w:rPr>
          <w:rFonts w:ascii="Arial" w:hAnsi="Arial" w:cs="Arial"/>
          <w:b/>
          <w:b/>
          <w:bCs/>
          <w:i/>
          <w:i/>
          <w:iCs/>
          <w:color w:val="000000" w:themeColor="text1"/>
          <w:sz w:val="18"/>
          <w:szCs w:val="18"/>
        </w:rPr>
      </w:pPr>
      <w:r>
        <w:rPr>
          <w:rFonts w:cs="Arial" w:ascii="Arial" w:hAnsi="Arial"/>
          <w:b/>
          <w:bCs/>
          <w:i/>
          <w:iCs/>
          <w:color w:val="000000" w:themeColor="text1"/>
          <w:sz w:val="18"/>
          <w:szCs w:val="18"/>
        </w:rPr>
      </w:r>
    </w:p>
    <w:tbl>
      <w:tblPr>
        <w:tblW w:w="9750" w:type="dxa"/>
        <w:jc w:val="left"/>
        <w:tblInd w:w="55" w:type="dxa"/>
        <w:tblLayout w:type="fixed"/>
        <w:tblCellMar>
          <w:top w:w="55" w:type="dxa"/>
          <w:left w:w="55" w:type="dxa"/>
          <w:bottom w:w="55" w:type="dxa"/>
          <w:right w:w="55" w:type="dxa"/>
        </w:tblCellMar>
      </w:tblPr>
      <w:tblGrid>
        <w:gridCol w:w="2668"/>
        <w:gridCol w:w="1243"/>
        <w:gridCol w:w="1135"/>
        <w:gridCol w:w="1451"/>
        <w:gridCol w:w="1624"/>
        <w:gridCol w:w="1629"/>
      </w:tblGrid>
      <w:tr>
        <w:trPr/>
        <w:tc>
          <w:tcPr>
            <w:tcW w:w="9750" w:type="dxa"/>
            <w:gridSpan w:val="6"/>
            <w:tcBorders>
              <w:top w:val="single" w:sz="6" w:space="0" w:color="E36C0A"/>
              <w:left w:val="single" w:sz="6" w:space="0" w:color="E36C0A"/>
              <w:bottom w:val="single" w:sz="6" w:space="0" w:color="E36C0A"/>
              <w:right w:val="single" w:sz="6" w:space="0" w:color="E36C0A"/>
            </w:tcBorders>
            <w:shd w:fill="000000" w:val="clear"/>
          </w:tcPr>
          <w:p>
            <w:pPr>
              <w:pStyle w:val="Contenidodelatabla"/>
              <w:spacing w:before="0" w:after="200"/>
              <w:jc w:val="center"/>
              <w:rPr>
                <w:rFonts w:ascii="Arial" w:hAnsi="Arial"/>
                <w:color w:val="FFFFFF"/>
                <w:sz w:val="18"/>
                <w:szCs w:val="18"/>
              </w:rPr>
            </w:pPr>
            <w:r>
              <w:rPr>
                <w:rFonts w:ascii="Arial" w:hAnsi="Arial"/>
                <w:color w:val="FFFFFF"/>
                <w:sz w:val="18"/>
                <w:szCs w:val="18"/>
              </w:rPr>
              <w:t xml:space="preserve">CLASE  </w:t>
            </w:r>
            <w:r>
              <w:rPr>
                <w:rFonts w:ascii="Arial" w:hAnsi="Arial"/>
                <w:color w:val="FFFFFF"/>
                <w:sz w:val="18"/>
                <w:szCs w:val="18"/>
              </w:rPr>
              <w:t xml:space="preserve">SUPERIOR </w:t>
            </w:r>
          </w:p>
        </w:tc>
      </w:tr>
      <w:tr>
        <w:trPr/>
        <w:tc>
          <w:tcPr>
            <w:tcW w:w="2668" w:type="dxa"/>
            <w:tcBorders>
              <w:left w:val="single" w:sz="6" w:space="0" w:color="E36C0A"/>
              <w:bottom w:val="single" w:sz="6" w:space="0" w:color="E36C0A"/>
            </w:tcBorders>
            <w:shd w:fill="E36C0A" w:val="clear"/>
          </w:tcPr>
          <w:p>
            <w:pPr>
              <w:pStyle w:val="Contenidodelatabla"/>
              <w:spacing w:before="0" w:after="200"/>
              <w:jc w:val="center"/>
              <w:rPr>
                <w:rFonts w:ascii="Arial" w:hAnsi="Arial"/>
                <w:color w:val="FFFFFF"/>
                <w:sz w:val="18"/>
                <w:szCs w:val="18"/>
              </w:rPr>
            </w:pPr>
            <w:r>
              <w:rPr>
                <w:rFonts w:ascii="Arial" w:hAnsi="Arial"/>
                <w:color w:val="FFFFFF"/>
                <w:sz w:val="18"/>
                <w:szCs w:val="18"/>
              </w:rPr>
              <w:t xml:space="preserve">SALIDAS: DIARIAS </w:t>
            </w:r>
          </w:p>
        </w:tc>
        <w:tc>
          <w:tcPr>
            <w:tcW w:w="1243" w:type="dxa"/>
            <w:tcBorders>
              <w:left w:val="single" w:sz="6" w:space="0" w:color="E36C0A"/>
              <w:bottom w:val="single" w:sz="6" w:space="0" w:color="E36C0A"/>
            </w:tcBorders>
            <w:shd w:fill="E36C0A" w:val="clear"/>
          </w:tcPr>
          <w:p>
            <w:pPr>
              <w:pStyle w:val="Contenidodelatabla"/>
              <w:spacing w:before="0" w:after="200"/>
              <w:jc w:val="center"/>
              <w:rPr>
                <w:rFonts w:ascii="Arial" w:hAnsi="Arial"/>
                <w:color w:val="FFFFFF"/>
                <w:sz w:val="18"/>
                <w:szCs w:val="18"/>
              </w:rPr>
            </w:pPr>
            <w:r>
              <w:rPr>
                <w:rFonts w:ascii="Arial" w:hAnsi="Arial"/>
                <w:color w:val="FFFFFF"/>
                <w:sz w:val="18"/>
                <w:szCs w:val="18"/>
              </w:rPr>
              <w:t>Sencilla</w:t>
            </w:r>
          </w:p>
        </w:tc>
        <w:tc>
          <w:tcPr>
            <w:tcW w:w="1135" w:type="dxa"/>
            <w:tcBorders>
              <w:left w:val="single" w:sz="6" w:space="0" w:color="E36C0A"/>
              <w:bottom w:val="single" w:sz="6" w:space="0" w:color="E36C0A"/>
            </w:tcBorders>
            <w:shd w:fill="E36C0A" w:val="clear"/>
          </w:tcPr>
          <w:p>
            <w:pPr>
              <w:pStyle w:val="Contenidodelatabla"/>
              <w:spacing w:before="0" w:after="200"/>
              <w:jc w:val="center"/>
              <w:rPr>
                <w:rFonts w:ascii="Arial" w:hAnsi="Arial"/>
                <w:color w:val="FFFFFF"/>
                <w:sz w:val="18"/>
                <w:szCs w:val="18"/>
              </w:rPr>
            </w:pPr>
            <w:r>
              <w:rPr>
                <w:rFonts w:ascii="Arial" w:hAnsi="Arial"/>
                <w:color w:val="FFFFFF"/>
                <w:sz w:val="18"/>
                <w:szCs w:val="18"/>
              </w:rPr>
              <w:t xml:space="preserve">Doble </w:t>
            </w:r>
          </w:p>
        </w:tc>
        <w:tc>
          <w:tcPr>
            <w:tcW w:w="1451" w:type="dxa"/>
            <w:tcBorders>
              <w:left w:val="single" w:sz="6" w:space="0" w:color="E36C0A"/>
              <w:bottom w:val="single" w:sz="6" w:space="0" w:color="E36C0A"/>
            </w:tcBorders>
            <w:shd w:fill="E36C0A" w:val="clear"/>
          </w:tcPr>
          <w:p>
            <w:pPr>
              <w:pStyle w:val="Contenidodelatabla"/>
              <w:spacing w:before="0" w:after="200"/>
              <w:jc w:val="center"/>
              <w:rPr>
                <w:rFonts w:ascii="Arial" w:hAnsi="Arial"/>
                <w:color w:val="FFFFFF"/>
                <w:sz w:val="18"/>
                <w:szCs w:val="18"/>
              </w:rPr>
            </w:pPr>
            <w:r>
              <w:rPr>
                <w:rFonts w:ascii="Arial" w:hAnsi="Arial"/>
                <w:color w:val="FFFFFF"/>
                <w:sz w:val="18"/>
                <w:szCs w:val="18"/>
              </w:rPr>
              <w:t xml:space="preserve">Triple </w:t>
            </w:r>
          </w:p>
        </w:tc>
        <w:tc>
          <w:tcPr>
            <w:tcW w:w="1624" w:type="dxa"/>
            <w:tcBorders>
              <w:left w:val="single" w:sz="6" w:space="0" w:color="E36C0A"/>
              <w:bottom w:val="single" w:sz="6" w:space="0" w:color="E36C0A"/>
            </w:tcBorders>
            <w:shd w:fill="E36C0A" w:val="clear"/>
          </w:tcPr>
          <w:p>
            <w:pPr>
              <w:pStyle w:val="Contenidodelatabla"/>
              <w:spacing w:before="0" w:after="200"/>
              <w:jc w:val="center"/>
              <w:rPr>
                <w:rFonts w:ascii="Arial" w:hAnsi="Arial"/>
                <w:color w:val="FFFFFF"/>
                <w:sz w:val="18"/>
                <w:szCs w:val="18"/>
              </w:rPr>
            </w:pPr>
            <w:r>
              <w:rPr>
                <w:rFonts w:ascii="Arial" w:hAnsi="Arial"/>
                <w:color w:val="FFFFFF"/>
                <w:sz w:val="18"/>
                <w:szCs w:val="18"/>
              </w:rPr>
              <w:t xml:space="preserve">Cuádruple </w:t>
            </w:r>
          </w:p>
        </w:tc>
        <w:tc>
          <w:tcPr>
            <w:tcW w:w="1629" w:type="dxa"/>
            <w:tcBorders>
              <w:left w:val="single" w:sz="6" w:space="0" w:color="E36C0A"/>
              <w:bottom w:val="single" w:sz="6" w:space="0" w:color="E36C0A"/>
              <w:right w:val="single" w:sz="6" w:space="0" w:color="E36C0A"/>
            </w:tcBorders>
            <w:shd w:fill="E36C0A" w:val="clear"/>
          </w:tcPr>
          <w:p>
            <w:pPr>
              <w:pStyle w:val="Contenidodelatabla"/>
              <w:spacing w:before="0" w:after="200"/>
              <w:jc w:val="center"/>
              <w:rPr>
                <w:rFonts w:ascii="Arial" w:hAnsi="Arial"/>
                <w:color w:val="FFFFFF"/>
                <w:sz w:val="18"/>
                <w:szCs w:val="18"/>
              </w:rPr>
            </w:pPr>
            <w:r>
              <w:rPr>
                <w:rFonts w:ascii="Arial" w:hAnsi="Arial"/>
                <w:color w:val="FFFFFF"/>
                <w:sz w:val="18"/>
                <w:szCs w:val="18"/>
              </w:rPr>
              <w:t>MNR 0-1</w:t>
            </w:r>
            <w:r>
              <w:rPr>
                <w:rFonts w:ascii="Arial" w:hAnsi="Arial"/>
                <w:color w:val="FFFFFF"/>
                <w:sz w:val="18"/>
                <w:szCs w:val="18"/>
              </w:rPr>
              <w:t>2</w:t>
            </w:r>
          </w:p>
        </w:tc>
      </w:tr>
      <w:tr>
        <w:trPr/>
        <w:tc>
          <w:tcPr>
            <w:tcW w:w="2668"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01/11/2024- 15/12/2024</w:t>
            </w:r>
          </w:p>
        </w:tc>
        <w:tc>
          <w:tcPr>
            <w:tcW w:w="1243"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 xml:space="preserve">USD   </w:t>
            </w:r>
            <w:r>
              <w:rPr>
                <w:rFonts w:ascii="Arial" w:hAnsi="Arial"/>
                <w:sz w:val="18"/>
                <w:szCs w:val="18"/>
              </w:rPr>
              <w:t>3,333</w:t>
            </w:r>
          </w:p>
        </w:tc>
        <w:tc>
          <w:tcPr>
            <w:tcW w:w="1135"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USD 1,</w:t>
            </w:r>
            <w:r>
              <w:rPr>
                <w:rFonts w:ascii="Arial" w:hAnsi="Arial"/>
                <w:sz w:val="18"/>
                <w:szCs w:val="18"/>
              </w:rPr>
              <w:t>837</w:t>
            </w:r>
            <w:r>
              <w:rPr>
                <w:rFonts w:ascii="Arial" w:hAnsi="Arial"/>
                <w:sz w:val="18"/>
                <w:szCs w:val="18"/>
              </w:rPr>
              <w:t xml:space="preserve"> </w:t>
            </w:r>
          </w:p>
        </w:tc>
        <w:tc>
          <w:tcPr>
            <w:tcW w:w="1451"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 xml:space="preserve">USD   </w:t>
            </w:r>
            <w:r>
              <w:rPr>
                <w:rFonts w:ascii="Arial" w:hAnsi="Arial"/>
                <w:sz w:val="18"/>
                <w:szCs w:val="18"/>
              </w:rPr>
              <w:t>1, 485</w:t>
            </w:r>
          </w:p>
        </w:tc>
        <w:tc>
          <w:tcPr>
            <w:tcW w:w="1624"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 xml:space="preserve">USD  </w:t>
            </w:r>
            <w:r>
              <w:rPr>
                <w:rFonts w:ascii="Arial" w:hAnsi="Arial"/>
                <w:sz w:val="18"/>
                <w:szCs w:val="18"/>
              </w:rPr>
              <w:t>1,318</w:t>
            </w:r>
          </w:p>
        </w:tc>
        <w:tc>
          <w:tcPr>
            <w:tcW w:w="1629" w:type="dxa"/>
            <w:tcBorders>
              <w:left w:val="single" w:sz="6" w:space="0" w:color="E36C0A"/>
              <w:bottom w:val="single" w:sz="6" w:space="0" w:color="E36C0A"/>
              <w:right w:val="single" w:sz="6" w:space="0" w:color="E36C0A"/>
            </w:tcBorders>
          </w:tcPr>
          <w:p>
            <w:pPr>
              <w:pStyle w:val="Contenidodelatabla"/>
              <w:spacing w:before="0" w:after="200"/>
              <w:jc w:val="center"/>
              <w:rPr>
                <w:rFonts w:ascii="Arial" w:hAnsi="Arial"/>
                <w:sz w:val="18"/>
                <w:szCs w:val="18"/>
              </w:rPr>
            </w:pPr>
            <w:r>
              <w:rPr>
                <w:rFonts w:ascii="Arial" w:hAnsi="Arial"/>
                <w:sz w:val="18"/>
                <w:szCs w:val="18"/>
              </w:rPr>
              <w:t>USD  482</w:t>
            </w:r>
          </w:p>
        </w:tc>
      </w:tr>
      <w:tr>
        <w:trPr/>
        <w:tc>
          <w:tcPr>
            <w:tcW w:w="2668"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 xml:space="preserve">16/12/2024 - </w:t>
            </w:r>
            <w:r>
              <w:rPr>
                <w:rFonts w:ascii="Arial" w:hAnsi="Arial"/>
                <w:sz w:val="18"/>
                <w:szCs w:val="18"/>
              </w:rPr>
              <w:t>03</w:t>
            </w:r>
            <w:r>
              <w:rPr>
                <w:rFonts w:ascii="Arial" w:hAnsi="Arial"/>
                <w:sz w:val="18"/>
                <w:szCs w:val="18"/>
              </w:rPr>
              <w:t>/</w:t>
            </w:r>
            <w:r>
              <w:rPr>
                <w:rFonts w:ascii="Arial" w:hAnsi="Arial"/>
                <w:sz w:val="18"/>
                <w:szCs w:val="18"/>
              </w:rPr>
              <w:t>0</w:t>
            </w:r>
            <w:r>
              <w:rPr>
                <w:rFonts w:ascii="Arial" w:hAnsi="Arial"/>
                <w:sz w:val="18"/>
                <w:szCs w:val="18"/>
              </w:rPr>
              <w:t>1/202</w:t>
            </w:r>
            <w:r>
              <w:rPr>
                <w:rFonts w:ascii="Arial" w:hAnsi="Arial"/>
                <w:sz w:val="18"/>
                <w:szCs w:val="18"/>
              </w:rPr>
              <w:t>5</w:t>
            </w:r>
          </w:p>
        </w:tc>
        <w:tc>
          <w:tcPr>
            <w:tcW w:w="1243"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 xml:space="preserve">USD  </w:t>
            </w:r>
            <w:r>
              <w:rPr>
                <w:rFonts w:ascii="Arial" w:hAnsi="Arial"/>
                <w:sz w:val="18"/>
                <w:szCs w:val="18"/>
              </w:rPr>
              <w:t>4,648</w:t>
            </w:r>
          </w:p>
        </w:tc>
        <w:tc>
          <w:tcPr>
            <w:tcW w:w="1135"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USD 2,</w:t>
            </w:r>
            <w:r>
              <w:rPr>
                <w:rFonts w:ascii="Arial" w:hAnsi="Arial"/>
                <w:sz w:val="18"/>
                <w:szCs w:val="18"/>
              </w:rPr>
              <w:t>497</w:t>
            </w:r>
          </w:p>
        </w:tc>
        <w:tc>
          <w:tcPr>
            <w:tcW w:w="1451"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USD 1,</w:t>
            </w:r>
            <w:r>
              <w:rPr>
                <w:rFonts w:ascii="Arial" w:hAnsi="Arial"/>
                <w:sz w:val="18"/>
                <w:szCs w:val="18"/>
              </w:rPr>
              <w:t>918</w:t>
            </w:r>
          </w:p>
        </w:tc>
        <w:tc>
          <w:tcPr>
            <w:tcW w:w="1624"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USD 1,</w:t>
            </w:r>
            <w:r>
              <w:rPr>
                <w:rFonts w:ascii="Arial" w:hAnsi="Arial"/>
                <w:sz w:val="18"/>
                <w:szCs w:val="18"/>
              </w:rPr>
              <w:t>646</w:t>
            </w:r>
          </w:p>
        </w:tc>
        <w:tc>
          <w:tcPr>
            <w:tcW w:w="1629" w:type="dxa"/>
            <w:tcBorders>
              <w:left w:val="single" w:sz="6" w:space="0" w:color="E36C0A"/>
              <w:bottom w:val="single" w:sz="6" w:space="0" w:color="E36C0A"/>
              <w:right w:val="single" w:sz="6" w:space="0" w:color="E36C0A"/>
            </w:tcBorders>
          </w:tcPr>
          <w:p>
            <w:pPr>
              <w:pStyle w:val="Contenidodelatabla"/>
              <w:spacing w:before="0" w:after="200"/>
              <w:jc w:val="center"/>
              <w:rPr>
                <w:rFonts w:ascii="Arial" w:hAnsi="Arial"/>
                <w:sz w:val="18"/>
                <w:szCs w:val="18"/>
              </w:rPr>
            </w:pPr>
            <w:r>
              <w:rPr>
                <w:rFonts w:ascii="Arial" w:hAnsi="Arial"/>
                <w:sz w:val="18"/>
                <w:szCs w:val="18"/>
              </w:rPr>
              <w:t>USD 482</w:t>
            </w:r>
          </w:p>
        </w:tc>
      </w:tr>
      <w:tr>
        <w:trPr>
          <w:trHeight w:val="872" w:hRule="atLeast"/>
        </w:trPr>
        <w:tc>
          <w:tcPr>
            <w:tcW w:w="2668" w:type="dxa"/>
            <w:tcBorders>
              <w:left w:val="single" w:sz="6" w:space="0" w:color="E36C0A"/>
              <w:bottom w:val="single" w:sz="6" w:space="0" w:color="E36C0A"/>
            </w:tcBorders>
          </w:tcPr>
          <w:p>
            <w:pPr>
              <w:pStyle w:val="Contenidodelatabla"/>
              <w:jc w:val="center"/>
              <w:rPr>
                <w:rFonts w:ascii="Arial" w:hAnsi="Arial"/>
                <w:sz w:val="18"/>
                <w:szCs w:val="18"/>
              </w:rPr>
            </w:pPr>
            <w:r>
              <w:rPr>
                <w:rFonts w:ascii="Arial" w:hAnsi="Arial"/>
                <w:sz w:val="18"/>
                <w:szCs w:val="18"/>
              </w:rPr>
              <w:t xml:space="preserve">01/01/2025 – 26/04/2025 </w:t>
            </w:r>
          </w:p>
          <w:p>
            <w:pPr>
              <w:pStyle w:val="Contenidodelatabla"/>
              <w:spacing w:before="0" w:after="200"/>
              <w:jc w:val="center"/>
              <w:rPr>
                <w:rFonts w:ascii="Arial" w:hAnsi="Arial"/>
                <w:sz w:val="18"/>
                <w:szCs w:val="18"/>
              </w:rPr>
            </w:pPr>
            <w:r>
              <w:rPr>
                <w:rFonts w:ascii="Arial" w:hAnsi="Arial"/>
                <w:sz w:val="18"/>
                <w:szCs w:val="18"/>
              </w:rPr>
            </w:r>
          </w:p>
        </w:tc>
        <w:tc>
          <w:tcPr>
            <w:tcW w:w="1243"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 xml:space="preserve">USD  </w:t>
            </w:r>
            <w:r>
              <w:rPr>
                <w:rFonts w:ascii="Arial" w:hAnsi="Arial"/>
                <w:sz w:val="18"/>
                <w:szCs w:val="18"/>
              </w:rPr>
              <w:t>3</w:t>
            </w:r>
            <w:r>
              <w:rPr>
                <w:rFonts w:ascii="Arial" w:hAnsi="Arial"/>
                <w:sz w:val="18"/>
                <w:szCs w:val="18"/>
              </w:rPr>
              <w:t>,</w:t>
            </w:r>
            <w:r>
              <w:rPr>
                <w:rFonts w:ascii="Arial" w:hAnsi="Arial"/>
                <w:sz w:val="18"/>
                <w:szCs w:val="18"/>
              </w:rPr>
              <w:t>993</w:t>
            </w:r>
          </w:p>
        </w:tc>
        <w:tc>
          <w:tcPr>
            <w:tcW w:w="1135"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 xml:space="preserve"> </w:t>
            </w:r>
            <w:r>
              <w:rPr>
                <w:rFonts w:ascii="Arial" w:hAnsi="Arial"/>
                <w:sz w:val="18"/>
                <w:szCs w:val="18"/>
              </w:rPr>
              <w:t xml:space="preserve">USD </w:t>
            </w:r>
            <w:r>
              <w:rPr>
                <w:rFonts w:ascii="Arial" w:hAnsi="Arial"/>
                <w:sz w:val="18"/>
                <w:szCs w:val="18"/>
              </w:rPr>
              <w:t>2</w:t>
            </w:r>
            <w:r>
              <w:rPr>
                <w:rFonts w:ascii="Arial" w:hAnsi="Arial"/>
                <w:sz w:val="18"/>
                <w:szCs w:val="18"/>
              </w:rPr>
              <w:t>,</w:t>
            </w:r>
            <w:r>
              <w:rPr>
                <w:rFonts w:ascii="Arial" w:hAnsi="Arial"/>
                <w:sz w:val="18"/>
                <w:szCs w:val="18"/>
              </w:rPr>
              <w:t>170</w:t>
            </w:r>
            <w:r>
              <w:rPr>
                <w:rFonts w:ascii="Arial" w:hAnsi="Arial"/>
                <w:sz w:val="18"/>
                <w:szCs w:val="18"/>
              </w:rPr>
              <w:t xml:space="preserve"> </w:t>
            </w:r>
          </w:p>
        </w:tc>
        <w:tc>
          <w:tcPr>
            <w:tcW w:w="1451" w:type="dxa"/>
            <w:tcBorders>
              <w:left w:val="single" w:sz="6" w:space="0" w:color="E36C0A"/>
              <w:bottom w:val="single" w:sz="6" w:space="0" w:color="E36C0A"/>
            </w:tcBorders>
          </w:tcPr>
          <w:p>
            <w:pPr>
              <w:pStyle w:val="Contenidodelatabla"/>
              <w:spacing w:before="0" w:after="86"/>
              <w:jc w:val="center"/>
              <w:rPr>
                <w:rFonts w:ascii="Arial" w:hAnsi="Arial"/>
                <w:sz w:val="18"/>
                <w:szCs w:val="18"/>
              </w:rPr>
            </w:pPr>
            <w:r>
              <w:rPr>
                <w:rFonts w:ascii="Arial" w:hAnsi="Arial"/>
                <w:sz w:val="18"/>
                <w:szCs w:val="18"/>
              </w:rPr>
              <w:t xml:space="preserve">USD  </w:t>
            </w:r>
            <w:r>
              <w:rPr>
                <w:rFonts w:ascii="Arial" w:hAnsi="Arial"/>
                <w:sz w:val="18"/>
                <w:szCs w:val="18"/>
              </w:rPr>
              <w:t>1, 696</w:t>
            </w:r>
          </w:p>
        </w:tc>
        <w:tc>
          <w:tcPr>
            <w:tcW w:w="1624" w:type="dxa"/>
            <w:tcBorders>
              <w:left w:val="single" w:sz="6" w:space="0" w:color="E36C0A"/>
              <w:bottom w:val="single" w:sz="6" w:space="0" w:color="E36C0A"/>
            </w:tcBorders>
          </w:tcPr>
          <w:p>
            <w:pPr>
              <w:pStyle w:val="Contenidodelatabla"/>
              <w:spacing w:before="0" w:after="200"/>
              <w:jc w:val="center"/>
              <w:rPr>
                <w:rFonts w:ascii="Arial" w:hAnsi="Arial"/>
                <w:sz w:val="18"/>
                <w:szCs w:val="18"/>
              </w:rPr>
            </w:pPr>
            <w:r>
              <w:rPr>
                <w:rFonts w:ascii="Arial" w:hAnsi="Arial"/>
                <w:sz w:val="18"/>
                <w:szCs w:val="18"/>
              </w:rPr>
              <w:t xml:space="preserve">USD  </w:t>
            </w:r>
            <w:r>
              <w:rPr>
                <w:rFonts w:ascii="Arial" w:hAnsi="Arial"/>
                <w:sz w:val="18"/>
                <w:szCs w:val="18"/>
              </w:rPr>
              <w:t>1,480</w:t>
            </w:r>
          </w:p>
        </w:tc>
        <w:tc>
          <w:tcPr>
            <w:tcW w:w="1629" w:type="dxa"/>
            <w:tcBorders>
              <w:left w:val="single" w:sz="6" w:space="0" w:color="E36C0A"/>
              <w:bottom w:val="single" w:sz="6" w:space="0" w:color="E36C0A"/>
              <w:right w:val="single" w:sz="6" w:space="0" w:color="E36C0A"/>
            </w:tcBorders>
          </w:tcPr>
          <w:p>
            <w:pPr>
              <w:pStyle w:val="Contenidodelatabla"/>
              <w:spacing w:before="0" w:after="200"/>
              <w:jc w:val="center"/>
              <w:rPr>
                <w:rFonts w:ascii="Arial" w:hAnsi="Arial"/>
                <w:sz w:val="18"/>
                <w:szCs w:val="18"/>
              </w:rPr>
            </w:pPr>
            <w:r>
              <w:rPr>
                <w:rFonts w:ascii="Arial" w:hAnsi="Arial"/>
                <w:sz w:val="18"/>
                <w:szCs w:val="18"/>
              </w:rPr>
              <w:t>USD 482</w:t>
            </w:r>
          </w:p>
        </w:tc>
      </w:tr>
    </w:tbl>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 xml:space="preserve">EL PRECIO INCLUYE </w:t>
      </w:r>
    </w:p>
    <w:p>
      <w:pPr>
        <w:pStyle w:val="NoSpacing"/>
        <w:widowControl w:val="false"/>
        <w:numPr>
          <w:ilvl w:val="0"/>
          <w:numId w:val="4"/>
        </w:numPr>
        <w:jc w:val="both"/>
        <w:textAlignment w:val="baseline"/>
        <w:rPr>
          <w:rFonts w:ascii="Arial" w:hAnsi="Arial" w:cs="Arial"/>
          <w:b/>
          <w:b/>
          <w:i/>
          <w:i/>
          <w:color w:val="000000" w:themeColor="text1"/>
          <w:sz w:val="18"/>
          <w:szCs w:val="18"/>
          <w:lang w:val="es-ES_tradnl" w:eastAsia="es-ES"/>
        </w:rPr>
      </w:pPr>
      <w:r>
        <w:rPr>
          <w:rFonts w:cs="Arial" w:ascii="Arial" w:hAnsi="Arial"/>
          <w:color w:val="000000" w:themeColor="text1"/>
          <w:sz w:val="18"/>
          <w:szCs w:val="18"/>
          <w:lang w:val="es-ES_tradnl" w:eastAsia="es-ES"/>
        </w:rPr>
        <w:t xml:space="preserve">Traslados aeropuerto – hotel – aeropuerto en </w:t>
      </w:r>
      <w:r>
        <w:rPr>
          <w:rFonts w:cs="Arial" w:ascii="Arial" w:hAnsi="Arial"/>
          <w:b/>
          <w:i/>
          <w:color w:val="000000" w:themeColor="text1"/>
          <w:sz w:val="18"/>
          <w:szCs w:val="18"/>
          <w:lang w:val="es-ES_tradnl" w:eastAsia="es-ES"/>
        </w:rPr>
        <w:t>servicio regular en horario diurno</w:t>
      </w:r>
    </w:p>
    <w:p>
      <w:pPr>
        <w:pStyle w:val="NoSpacing"/>
        <w:widowControl w:val="false"/>
        <w:numPr>
          <w:ilvl w:val="0"/>
          <w:numId w:val="4"/>
        </w:numPr>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1 noche de alojamiento en Calgary</w:t>
      </w:r>
    </w:p>
    <w:p>
      <w:pPr>
        <w:pStyle w:val="NoSpacing"/>
        <w:widowControl w:val="false"/>
        <w:numPr>
          <w:ilvl w:val="0"/>
          <w:numId w:val="4"/>
        </w:numPr>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4 noches de alojamiento en Banff</w:t>
      </w:r>
    </w:p>
    <w:p>
      <w:pPr>
        <w:pStyle w:val="NoSpacing"/>
        <w:widowControl w:val="false"/>
        <w:numPr>
          <w:ilvl w:val="0"/>
          <w:numId w:val="4"/>
        </w:numPr>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 xml:space="preserve">Visita a Lake Louise – en inglés </w:t>
      </w:r>
    </w:p>
    <w:p>
      <w:pPr>
        <w:pStyle w:val="NoSpacing"/>
        <w:widowControl w:val="false"/>
        <w:numPr>
          <w:ilvl w:val="0"/>
          <w:numId w:val="4"/>
        </w:numPr>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Caminata con raquetas de nieve – en inglés, sin guía (esta actividad se realiza aapartir del 01 de diciembre)</w:t>
      </w:r>
    </w:p>
    <w:p>
      <w:pPr>
        <w:pStyle w:val="NoSpacing"/>
        <w:widowControl w:val="false"/>
        <w:numPr>
          <w:ilvl w:val="0"/>
          <w:numId w:val="4"/>
        </w:numPr>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Traslados de entrada en español y resto de servicios en idioma inglés</w:t>
      </w:r>
    </w:p>
    <w:p>
      <w:pPr>
        <w:pStyle w:val="NoSpacing"/>
        <w:widowControl w:val="false"/>
        <w:numPr>
          <w:ilvl w:val="0"/>
          <w:numId w:val="4"/>
        </w:numPr>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Tour y servicios mencionados en itinerario</w:t>
      </w:r>
    </w:p>
    <w:p>
      <w:pPr>
        <w:pStyle w:val="NoSpacing"/>
        <w:widowControl w:val="false"/>
        <w:numPr>
          <w:ilvl w:val="0"/>
          <w:numId w:val="4"/>
        </w:numPr>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Guía de habla hispana, exceptuando las actividades o traslados mencionados en el programa como “solo inglés”</w:t>
      </w:r>
    </w:p>
    <w:p>
      <w:pPr>
        <w:pStyle w:val="NoSpacing"/>
        <w:widowControl w:val="false"/>
        <w:numPr>
          <w:ilvl w:val="0"/>
          <w:numId w:val="4"/>
        </w:numPr>
        <w:jc w:val="both"/>
        <w:textAlignment w:val="baseline"/>
        <w:rPr>
          <w:rFonts w:ascii="Arial" w:hAnsi="Arial" w:cs="Arial"/>
          <w:b/>
          <w:b/>
          <w:i/>
          <w:i/>
          <w:color w:val="000000" w:themeColor="text1"/>
          <w:sz w:val="18"/>
          <w:szCs w:val="18"/>
          <w:lang w:val="es-ES_tradnl" w:eastAsia="es-ES"/>
        </w:rPr>
      </w:pPr>
      <w:r>
        <w:rPr>
          <w:rFonts w:cs="Arial" w:ascii="Arial" w:hAnsi="Arial"/>
          <w:b/>
          <w:i/>
          <w:color w:val="000000" w:themeColor="text1"/>
          <w:sz w:val="18"/>
          <w:szCs w:val="18"/>
          <w:lang w:val="es-ES_tradnl" w:eastAsia="es-ES"/>
        </w:rPr>
        <w:t>Seguro de viaje con cobertura COVID</w:t>
      </w:r>
    </w:p>
    <w:p>
      <w:pPr>
        <w:pStyle w:val="NoSpacing"/>
        <w:widowControl w:val="false"/>
        <w:numPr>
          <w:ilvl w:val="0"/>
          <w:numId w:val="4"/>
        </w:numPr>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Asistencia en español 24hrs</w:t>
      </w:r>
    </w:p>
    <w:p>
      <w:pPr>
        <w:pStyle w:val="NoSpacing"/>
        <w:widowControl w:val="false"/>
        <w:numPr>
          <w:ilvl w:val="0"/>
          <w:numId w:val="4"/>
        </w:numPr>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r>
    </w:p>
    <w:p>
      <w:pPr>
        <w:pStyle w:val="NoSpacing"/>
        <w:widowControl w:val="false"/>
        <w:jc w:val="both"/>
        <w:textAlignment w:val="baseline"/>
        <w:rPr>
          <w:rFonts w:ascii="Arial" w:hAnsi="Arial" w:cs="Arial"/>
          <w:b/>
          <w:b/>
          <w:bCs/>
          <w:i/>
          <w:i/>
          <w:iCs/>
          <w:sz w:val="18"/>
          <w:szCs w:val="18"/>
          <w:lang w:val="es-ES_tradnl" w:eastAsia="es-ES"/>
        </w:rPr>
      </w:pPr>
      <w:r>
        <w:rPr>
          <w:rFonts w:cs="Arial" w:ascii="Arial" w:hAnsi="Arial"/>
          <w:b/>
          <w:bCs/>
          <w:i/>
          <w:iCs/>
          <w:sz w:val="18"/>
          <w:szCs w:val="18"/>
          <w:lang w:val="es-ES_tradnl" w:eastAsia="es-ES"/>
        </w:rPr>
        <w:t xml:space="preserve">Fairmont Banff Springs: Inclusiones </w:t>
      </w:r>
    </w:p>
    <w:p>
      <w:pPr>
        <w:pStyle w:val="NoSpacing"/>
        <w:widowControl w:val="false"/>
        <w:numPr>
          <w:ilvl w:val="0"/>
          <w:numId w:val="4"/>
        </w:numPr>
        <w:jc w:val="both"/>
        <w:textAlignment w:val="baseline"/>
        <w:rPr>
          <w:rFonts w:ascii="Arial" w:hAnsi="Arial" w:cs="Arial"/>
          <w:b w:val="false"/>
          <w:b w:val="false"/>
          <w:bCs w:val="false"/>
          <w:i w:val="false"/>
          <w:i w:val="false"/>
          <w:iCs w:val="false"/>
          <w:sz w:val="18"/>
          <w:szCs w:val="18"/>
          <w:lang w:val="es-ES_tradnl" w:eastAsia="es-ES"/>
        </w:rPr>
      </w:pPr>
      <w:r>
        <w:rPr>
          <w:rFonts w:cs="Arial" w:ascii="Arial" w:hAnsi="Arial"/>
          <w:b w:val="false"/>
          <w:bCs w:val="false"/>
          <w:i w:val="false"/>
          <w:iCs w:val="false"/>
          <w:color w:val="000000" w:themeColor="text1"/>
          <w:sz w:val="18"/>
          <w:szCs w:val="18"/>
          <w:lang w:val="es-ES_tradnl" w:eastAsia="es-ES"/>
        </w:rPr>
        <w:t>Servicio de transporte al restaurante y pub Waldhaus, al campo de golf y a la casa club</w:t>
      </w:r>
    </w:p>
    <w:p>
      <w:pPr>
        <w:pStyle w:val="NoSpacing"/>
        <w:widowControl w:val="false"/>
        <w:numPr>
          <w:ilvl w:val="0"/>
          <w:numId w:val="4"/>
        </w:numPr>
        <w:jc w:val="both"/>
        <w:textAlignment w:val="baseline"/>
        <w:rPr>
          <w:rFonts w:ascii="Arial" w:hAnsi="Arial" w:cs="Arial"/>
          <w:b w:val="false"/>
          <w:b w:val="false"/>
          <w:bCs w:val="false"/>
          <w:i w:val="false"/>
          <w:i w:val="false"/>
          <w:iCs w:val="false"/>
          <w:sz w:val="18"/>
          <w:szCs w:val="18"/>
          <w:lang w:val="es-ES_tradnl" w:eastAsia="es-ES"/>
        </w:rPr>
      </w:pPr>
      <w:r>
        <w:rPr>
          <w:rFonts w:cs="Arial" w:ascii="Arial" w:hAnsi="Arial"/>
          <w:b w:val="false"/>
          <w:bCs w:val="false"/>
          <w:i w:val="false"/>
          <w:iCs w:val="false"/>
          <w:color w:val="000000" w:themeColor="text1"/>
          <w:sz w:val="18"/>
          <w:szCs w:val="18"/>
          <w:lang w:val="es-ES_tradnl" w:eastAsia="es-ES"/>
        </w:rPr>
        <w:t>Transporte público gratuito (pases de transporte ROAM disponibles)</w:t>
      </w:r>
    </w:p>
    <w:p>
      <w:pPr>
        <w:pStyle w:val="NoSpacing"/>
        <w:widowControl w:val="false"/>
        <w:numPr>
          <w:ilvl w:val="0"/>
          <w:numId w:val="4"/>
        </w:numPr>
        <w:jc w:val="both"/>
        <w:textAlignment w:val="baseline"/>
        <w:rPr>
          <w:rFonts w:ascii="Arial" w:hAnsi="Arial" w:cs="Arial"/>
          <w:b w:val="false"/>
          <w:b w:val="false"/>
          <w:bCs w:val="false"/>
          <w:i w:val="false"/>
          <w:i w:val="false"/>
          <w:iCs w:val="false"/>
          <w:sz w:val="18"/>
          <w:szCs w:val="18"/>
          <w:lang w:val="es-ES_tradnl" w:eastAsia="es-ES"/>
        </w:rPr>
      </w:pPr>
      <w:r>
        <w:rPr>
          <w:rFonts w:cs="Arial" w:ascii="Arial" w:hAnsi="Arial"/>
          <w:b w:val="false"/>
          <w:bCs w:val="false"/>
          <w:i w:val="false"/>
          <w:iCs w:val="false"/>
          <w:color w:val="000000" w:themeColor="text1"/>
          <w:sz w:val="18"/>
          <w:szCs w:val="18"/>
          <w:lang w:val="es-ES_tradnl" w:eastAsia="es-ES"/>
        </w:rPr>
        <w:t>Health Club con clases diarias de fitness, yoga y meditación</w:t>
      </w:r>
    </w:p>
    <w:p>
      <w:pPr>
        <w:pStyle w:val="NoSpacing"/>
        <w:widowControl w:val="false"/>
        <w:numPr>
          <w:ilvl w:val="0"/>
          <w:numId w:val="4"/>
        </w:numPr>
        <w:jc w:val="both"/>
        <w:textAlignment w:val="baseline"/>
        <w:rPr>
          <w:rFonts w:ascii="Arial" w:hAnsi="Arial" w:cs="Arial"/>
          <w:b w:val="false"/>
          <w:b w:val="false"/>
          <w:bCs w:val="false"/>
          <w:i w:val="false"/>
          <w:i w:val="false"/>
          <w:iCs w:val="false"/>
          <w:sz w:val="18"/>
          <w:szCs w:val="18"/>
          <w:lang w:val="es-ES_tradnl" w:eastAsia="es-ES"/>
        </w:rPr>
      </w:pPr>
      <w:r>
        <w:rPr>
          <w:rFonts w:cs="Arial" w:ascii="Arial" w:hAnsi="Arial"/>
          <w:b w:val="false"/>
          <w:bCs w:val="false"/>
          <w:i w:val="false"/>
          <w:iCs w:val="false"/>
          <w:color w:val="000000" w:themeColor="text1"/>
          <w:sz w:val="18"/>
          <w:szCs w:val="18"/>
          <w:lang w:val="es-ES_tradnl" w:eastAsia="es-ES"/>
        </w:rPr>
        <w:t>Centro acuático con piscinas cubiertas y al aire libre, jacuzzi</w:t>
      </w:r>
    </w:p>
    <w:p>
      <w:pPr>
        <w:pStyle w:val="NoSpacing"/>
        <w:widowControl w:val="false"/>
        <w:numPr>
          <w:ilvl w:val="0"/>
          <w:numId w:val="4"/>
        </w:numPr>
        <w:jc w:val="both"/>
        <w:textAlignment w:val="baseline"/>
        <w:rPr>
          <w:rFonts w:ascii="Arial" w:hAnsi="Arial" w:cs="Arial"/>
          <w:b w:val="false"/>
          <w:b w:val="false"/>
          <w:bCs w:val="false"/>
          <w:i w:val="false"/>
          <w:i w:val="false"/>
          <w:iCs w:val="false"/>
          <w:sz w:val="18"/>
          <w:szCs w:val="18"/>
          <w:lang w:val="es-ES_tradnl" w:eastAsia="es-ES"/>
        </w:rPr>
      </w:pPr>
      <w:r>
        <w:rPr>
          <w:rFonts w:cs="Arial" w:ascii="Arial" w:hAnsi="Arial"/>
          <w:b w:val="false"/>
          <w:bCs w:val="false"/>
          <w:i w:val="false"/>
          <w:iCs w:val="false"/>
          <w:color w:val="000000" w:themeColor="text1"/>
          <w:sz w:val="18"/>
          <w:szCs w:val="18"/>
          <w:lang w:val="es-ES_tradnl" w:eastAsia="es-ES"/>
        </w:rPr>
        <w:t>Incluye recorridos en bicicleta, recorridos a pie, recorridos por la historia del hotel, recorridos por la ciudad, excursiones por senderos locales y por las montañas,</w:t>
      </w:r>
    </w:p>
    <w:p>
      <w:pPr>
        <w:pStyle w:val="NoSpacing"/>
        <w:widowControl w:val="false"/>
        <w:numPr>
          <w:ilvl w:val="0"/>
          <w:numId w:val="4"/>
        </w:numPr>
        <w:jc w:val="both"/>
        <w:textAlignment w:val="baseline"/>
        <w:rPr>
          <w:rFonts w:ascii="Arial" w:hAnsi="Arial" w:cs="Arial"/>
          <w:b w:val="false"/>
          <w:b w:val="false"/>
          <w:bCs w:val="false"/>
          <w:i w:val="false"/>
          <w:i w:val="false"/>
          <w:iCs w:val="false"/>
          <w:sz w:val="18"/>
          <w:szCs w:val="18"/>
          <w:lang w:val="es-ES_tradnl" w:eastAsia="es-ES"/>
        </w:rPr>
      </w:pPr>
      <w:r>
        <w:rPr>
          <w:rFonts w:cs="Arial" w:ascii="Arial" w:hAnsi="Arial"/>
          <w:b w:val="false"/>
          <w:bCs w:val="false"/>
          <w:i w:val="false"/>
          <w:iCs w:val="false"/>
          <w:color w:val="000000" w:themeColor="text1"/>
          <w:sz w:val="18"/>
          <w:szCs w:val="18"/>
          <w:lang w:val="es-ES_tradnl" w:eastAsia="es-ES"/>
        </w:rPr>
        <w:t>Observación de estrellas y raquetas de nieve</w:t>
      </w:r>
    </w:p>
    <w:p>
      <w:pPr>
        <w:pStyle w:val="NoSpacing"/>
        <w:widowControl w:val="false"/>
        <w:numPr>
          <w:ilvl w:val="0"/>
          <w:numId w:val="4"/>
        </w:numPr>
        <w:jc w:val="both"/>
        <w:textAlignment w:val="baseline"/>
        <w:rPr>
          <w:rFonts w:ascii="Arial" w:hAnsi="Arial" w:cs="Arial"/>
          <w:b w:val="false"/>
          <w:b w:val="false"/>
          <w:bCs w:val="false"/>
          <w:i w:val="false"/>
          <w:i w:val="false"/>
          <w:iCs w:val="false"/>
          <w:sz w:val="18"/>
          <w:szCs w:val="18"/>
          <w:lang w:val="es-ES_tradnl" w:eastAsia="es-ES"/>
        </w:rPr>
      </w:pPr>
      <w:r>
        <w:rPr>
          <w:rFonts w:cs="Arial" w:ascii="Arial" w:hAnsi="Arial"/>
          <w:b w:val="false"/>
          <w:bCs w:val="false"/>
          <w:i w:val="false"/>
          <w:iCs w:val="false"/>
          <w:color w:val="000000" w:themeColor="text1"/>
          <w:sz w:val="18"/>
          <w:szCs w:val="18"/>
          <w:lang w:val="es-ES_tradnl" w:eastAsia="es-ES"/>
        </w:rPr>
        <w:t>Incluye alquiler de bicicletas durante una hora, raquetas de nieve, crampones para hielo,bastones de senderismo y trineos de nieve.</w:t>
      </w:r>
    </w:p>
    <w:p>
      <w:pPr>
        <w:pStyle w:val="NoSpacing"/>
        <w:widowControl w:val="false"/>
        <w:numPr>
          <w:ilvl w:val="0"/>
          <w:numId w:val="4"/>
        </w:numPr>
        <w:jc w:val="both"/>
        <w:textAlignment w:val="baseline"/>
        <w:rPr>
          <w:rFonts w:ascii="Arial" w:hAnsi="Arial" w:cs="Arial"/>
          <w:b w:val="false"/>
          <w:b w:val="false"/>
          <w:bCs w:val="false"/>
          <w:i w:val="false"/>
          <w:i w:val="false"/>
          <w:iCs w:val="false"/>
          <w:sz w:val="18"/>
          <w:szCs w:val="18"/>
          <w:lang w:val="es-ES_tradnl" w:eastAsia="es-ES"/>
        </w:rPr>
      </w:pPr>
      <w:r>
        <w:rPr>
          <w:rFonts w:cs="Arial" w:ascii="Arial" w:hAnsi="Arial"/>
          <w:b w:val="false"/>
          <w:bCs w:val="false"/>
          <w:i w:val="false"/>
          <w:iCs w:val="false"/>
          <w:color w:val="000000" w:themeColor="text1"/>
          <w:sz w:val="18"/>
          <w:szCs w:val="18"/>
          <w:lang w:val="es-ES_tradnl" w:eastAsia="es-ES"/>
        </w:rPr>
        <w:t>Programas familiares, recreativos y culturales</w:t>
      </w:r>
    </w:p>
    <w:p>
      <w:pPr>
        <w:pStyle w:val="NoSpacing"/>
        <w:widowControl w:val="false"/>
        <w:numPr>
          <w:ilvl w:val="0"/>
          <w:numId w:val="4"/>
        </w:numPr>
        <w:jc w:val="both"/>
        <w:textAlignment w:val="baseline"/>
        <w:rPr>
          <w:rFonts w:ascii="Arial" w:hAnsi="Arial" w:cs="Arial"/>
          <w:b w:val="false"/>
          <w:b w:val="false"/>
          <w:bCs w:val="false"/>
          <w:i w:val="false"/>
          <w:i w:val="false"/>
          <w:iCs w:val="false"/>
          <w:sz w:val="18"/>
          <w:szCs w:val="18"/>
          <w:lang w:val="es-ES_tradnl" w:eastAsia="es-ES"/>
        </w:rPr>
      </w:pPr>
      <w:r>
        <w:rPr>
          <w:rFonts w:cs="Arial" w:ascii="Arial" w:hAnsi="Arial"/>
          <w:b w:val="false"/>
          <w:bCs w:val="false"/>
          <w:i w:val="false"/>
          <w:iCs w:val="false"/>
          <w:color w:val="000000" w:themeColor="text1"/>
          <w:sz w:val="18"/>
          <w:szCs w:val="18"/>
          <w:lang w:val="es-ES_tradnl" w:eastAsia="es-ES"/>
        </w:rPr>
        <w:t>Incluye noches de cine, trivial, bingo, búsqueda del tesoro, noches de pintura, diversión familiar, curling bávaro, patinaje sobre hielo,</w:t>
      </w:r>
    </w:p>
    <w:p>
      <w:pPr>
        <w:pStyle w:val="NoSpacing"/>
        <w:widowControl w:val="false"/>
        <w:numPr>
          <w:ilvl w:val="0"/>
          <w:numId w:val="4"/>
        </w:numPr>
        <w:jc w:val="both"/>
        <w:textAlignment w:val="baseline"/>
        <w:rPr>
          <w:rFonts w:ascii="Arial" w:hAnsi="Arial" w:cs="Arial"/>
          <w:b w:val="false"/>
          <w:b w:val="false"/>
          <w:bCs w:val="false"/>
          <w:i w:val="false"/>
          <w:i w:val="false"/>
          <w:iCs w:val="false"/>
          <w:sz w:val="18"/>
          <w:szCs w:val="18"/>
          <w:lang w:val="es-ES_tradnl" w:eastAsia="es-ES"/>
        </w:rPr>
      </w:pPr>
      <w:r>
        <w:rPr>
          <w:rFonts w:cs="Arial" w:ascii="Arial" w:hAnsi="Arial"/>
          <w:b w:val="false"/>
          <w:bCs w:val="false"/>
          <w:i w:val="false"/>
          <w:iCs w:val="false"/>
          <w:color w:val="000000" w:themeColor="text1"/>
          <w:sz w:val="18"/>
          <w:szCs w:val="18"/>
          <w:lang w:val="es-ES_tradnl" w:eastAsia="es-ES"/>
        </w:rPr>
        <w:t>Ping Pong y billar en el Centro Canadiense de Bolos y Entretenimiento</w:t>
      </w:r>
    </w:p>
    <w:p>
      <w:pPr>
        <w:pStyle w:val="NoSpacing"/>
        <w:widowControl w:val="false"/>
        <w:numPr>
          <w:ilvl w:val="0"/>
          <w:numId w:val="4"/>
        </w:numPr>
        <w:jc w:val="both"/>
        <w:textAlignment w:val="baseline"/>
        <w:rPr>
          <w:rFonts w:ascii="Arial" w:hAnsi="Arial" w:cs="Arial"/>
          <w:b w:val="false"/>
          <w:b w:val="false"/>
          <w:bCs w:val="false"/>
          <w:i w:val="false"/>
          <w:i w:val="false"/>
          <w:iCs w:val="false"/>
          <w:sz w:val="18"/>
          <w:szCs w:val="18"/>
          <w:lang w:val="es-ES_tradnl" w:eastAsia="es-ES"/>
        </w:rPr>
      </w:pPr>
      <w:r>
        <w:rPr>
          <w:rFonts w:cs="Arial" w:ascii="Arial" w:hAnsi="Arial"/>
          <w:b w:val="false"/>
          <w:bCs w:val="false"/>
          <w:i w:val="false"/>
          <w:iCs w:val="false"/>
          <w:color w:val="000000" w:themeColor="text1"/>
          <w:sz w:val="18"/>
          <w:szCs w:val="18"/>
          <w:lang w:val="es-ES_tradnl" w:eastAsia="es-ES"/>
        </w:rPr>
        <w:t>Acceso gratuito al Museo Whyte</w:t>
      </w:r>
    </w:p>
    <w:p>
      <w:pPr>
        <w:pStyle w:val="NoSpacing"/>
        <w:widowControl w:val="false"/>
        <w:numPr>
          <w:ilvl w:val="0"/>
          <w:numId w:val="0"/>
        </w:numPr>
        <w:ind w:left="720" w:hanging="0"/>
        <w:jc w:val="both"/>
        <w:textAlignment w:val="baseline"/>
        <w:rPr>
          <w:color w:val="000000" w:themeColor="text1"/>
        </w:rPr>
      </w:pPr>
      <w:r>
        <w:rPr>
          <w:color w:val="000000" w:themeColor="text1"/>
        </w:rPr>
      </w:r>
    </w:p>
    <w:p>
      <w:pPr>
        <w:pStyle w:val="Normal"/>
        <w:spacing w:lineRule="auto" w:line="240" w:before="0" w:after="0"/>
        <w:rPr>
          <w:b w:val="false"/>
          <w:b w:val="false"/>
          <w:bCs w:val="false"/>
          <w:i w:val="false"/>
          <w:i w:val="false"/>
          <w:iCs w:val="false"/>
        </w:rPr>
      </w:pPr>
      <w:r>
        <w:rPr>
          <w:rFonts w:eastAsia="Times New Roman" w:cs="Arial" w:ascii="Arial" w:hAnsi="Arial"/>
          <w:b w:val="false"/>
          <w:bCs w:val="false"/>
          <w:i w:val="false"/>
          <w:iCs w:val="false"/>
          <w:color w:val="E36C0A" w:themeColor="accent6" w:themeShade="bf"/>
          <w:sz w:val="18"/>
          <w:szCs w:val="18"/>
          <w:u w:val="single"/>
          <w:lang w:eastAsia="es-ES"/>
        </w:rPr>
        <w:t xml:space="preserve">EL PRECIO NO INCLUYE </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Boleto de avión México – Calgary - México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Gastos personales, alimentos y bebidas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Actividades opcionales y/o actividades no mencionadas en el itinerario como “incluye”</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rPr>
        <w:t>Alimentos, manejo de equipaje ni propinas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Ningún servicio no especificado </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Propinas</w:t>
      </w:r>
    </w:p>
    <w:p>
      <w:pPr>
        <w:pStyle w:val="NoSpacing"/>
        <w:widowControl w:val="false"/>
        <w:numPr>
          <w:ilvl w:val="0"/>
          <w:numId w:val="1"/>
        </w:numPr>
        <w:jc w:val="both"/>
        <w:textAlignment w:val="baseline"/>
        <w:rPr>
          <w:rFonts w:ascii="Arial" w:hAnsi="Arial" w:cs="Arial"/>
          <w:b/>
          <w:b/>
          <w:color w:val="E36C0A" w:themeColor="accent6" w:themeShade="bf"/>
          <w:sz w:val="18"/>
          <w:szCs w:val="18"/>
          <w:u w:val="single"/>
          <w:lang w:val="es-MX" w:eastAsia="es-ES"/>
        </w:rPr>
      </w:pPr>
      <w:r>
        <w:rPr>
          <w:rFonts w:cs="Arial" w:ascii="Arial" w:hAnsi="Arial"/>
          <w:sz w:val="18"/>
          <w:szCs w:val="18"/>
          <w:lang w:val="es-ES_tradnl" w:eastAsia="es-ES"/>
        </w:rPr>
        <w:t xml:space="preserve">Autorización electrónica del Viaje </w:t>
      </w:r>
      <w:r>
        <w:rPr>
          <w:rFonts w:cs="Arial" w:ascii="Arial" w:hAnsi="Arial"/>
          <w:b/>
          <w:sz w:val="18"/>
          <w:szCs w:val="18"/>
          <w:lang w:val="es-ES_tradnl" w:eastAsia="es-ES"/>
        </w:rPr>
        <w:t>eTA para Canadá</w:t>
      </w:r>
      <w:r>
        <w:rPr>
          <w:rFonts w:cs="Arial" w:ascii="Arial" w:hAnsi="Arial"/>
          <w:sz w:val="18"/>
          <w:szCs w:val="18"/>
          <w:lang w:val="es-ES_tradnl" w:eastAsia="es-ES"/>
        </w:rPr>
        <w:tab/>
      </w:r>
    </w:p>
    <w:p>
      <w:pPr>
        <w:pStyle w:val="NoSpacing"/>
        <w:widowControl w:val="false"/>
        <w:numPr>
          <w:ilvl w:val="0"/>
          <w:numId w:val="1"/>
        </w:numPr>
        <w:jc w:val="both"/>
        <w:textAlignment w:val="baseline"/>
        <w:rPr>
          <w:rFonts w:ascii="Arial" w:hAnsi="Arial" w:cs="Arial"/>
          <w:b/>
          <w:b/>
          <w:color w:val="E36C0A" w:themeColor="accent6" w:themeShade="bf"/>
          <w:sz w:val="18"/>
          <w:szCs w:val="18"/>
          <w:u w:val="single"/>
          <w:lang w:val="es-MX" w:eastAsia="es-ES"/>
        </w:rPr>
      </w:pPr>
      <w:r>
        <w:rPr>
          <w:rFonts w:cs="Arial" w:ascii="Arial" w:hAnsi="Arial"/>
          <w:b/>
          <w:sz w:val="18"/>
          <w:szCs w:val="18"/>
          <w:lang w:val="es-ES_tradnl" w:eastAsia="es-ES"/>
        </w:rPr>
        <w:t>Requisitos de ingreso COVID</w:t>
      </w:r>
    </w:p>
    <w:p>
      <w:pPr>
        <w:pStyle w:val="NoSpacing"/>
        <w:widowControl w:val="false"/>
        <w:ind w:left="720" w:hanging="0"/>
        <w:jc w:val="both"/>
        <w:textAlignment w:val="baseline"/>
        <w:rPr>
          <w:rFonts w:ascii="Arial" w:hAnsi="Arial" w:cs="Arial"/>
          <w:b/>
          <w:b/>
          <w:color w:val="E36C0A" w:themeColor="accent6" w:themeShade="bf"/>
          <w:sz w:val="18"/>
          <w:szCs w:val="18"/>
          <w:u w:val="single"/>
          <w:lang w:val="es-MX"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NOTAS IMPORTANTES:</w:t>
      </w:r>
    </w:p>
    <w:p>
      <w:pPr>
        <w:pStyle w:val="NoSpacing"/>
        <w:widowControl w:val="false"/>
        <w:numPr>
          <w:ilvl w:val="0"/>
          <w:numId w:val="2"/>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Tarifas expresadas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2"/>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la gestión de todos los documentos necesarios.</w:t>
      </w:r>
    </w:p>
    <w:p>
      <w:pPr>
        <w:pStyle w:val="NoSpacing"/>
        <w:widowControl w:val="false"/>
        <w:numPr>
          <w:ilvl w:val="0"/>
          <w:numId w:val="2"/>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La vigencia del pasaporte debe tener mínimo seis meses a partir de la fecha del inicio de su viaje.</w:t>
      </w:r>
    </w:p>
    <w:p>
      <w:pPr>
        <w:pStyle w:val="ListParagraph"/>
        <w:widowControl w:val="false"/>
        <w:numPr>
          <w:ilvl w:val="0"/>
          <w:numId w:val="2"/>
        </w:numPr>
        <w:jc w:val="both"/>
        <w:textAlignment w:val="baseline"/>
        <w:rPr>
          <w:rFonts w:ascii="Arial" w:hAnsi="Arial" w:cs="Arial"/>
          <w:sz w:val="18"/>
          <w:szCs w:val="18"/>
          <w:lang w:eastAsia="es-ES"/>
        </w:rPr>
      </w:pPr>
      <w:r>
        <w:rPr>
          <w:rFonts w:cs="Arial" w:ascii="Arial" w:hAnsi="Arial"/>
          <w:b/>
          <w:sz w:val="18"/>
          <w:szCs w:val="18"/>
          <w:lang w:val="es-ES_tradnl" w:eastAsia="es-ES"/>
        </w:rPr>
        <w:t>L</w:t>
      </w:r>
      <w:r>
        <w:rPr>
          <w:rFonts w:cs="Arial" w:ascii="Arial" w:hAnsi="Arial"/>
          <w:b/>
          <w:sz w:val="18"/>
          <w:szCs w:val="18"/>
          <w:lang w:eastAsia="es-ES"/>
        </w:rPr>
        <w:t xml:space="preserve">os ciudadanos mexicanos que estén interesados en </w:t>
      </w:r>
      <w:r>
        <w:rPr>
          <w:rFonts w:cs="Arial" w:ascii="Arial" w:hAnsi="Arial"/>
          <w:b/>
          <w:sz w:val="18"/>
          <w:szCs w:val="18"/>
          <w:u w:val="single"/>
          <w:lang w:eastAsia="es-ES"/>
        </w:rPr>
        <w:t>viajar a Canadá no necesitarán visa</w:t>
      </w:r>
      <w:r>
        <w:rPr>
          <w:rFonts w:cs="Arial" w:ascii="Arial" w:hAnsi="Arial"/>
          <w:b/>
          <w:sz w:val="18"/>
          <w:szCs w:val="18"/>
          <w:lang w:eastAsia="es-ES"/>
        </w:rPr>
        <w:t>,</w:t>
      </w:r>
      <w:r>
        <w:rPr>
          <w:rFonts w:cs="Arial" w:ascii="Arial" w:hAnsi="Arial"/>
          <w:sz w:val="18"/>
          <w:szCs w:val="18"/>
          <w:lang w:eastAsia="es-ES"/>
        </w:rPr>
        <w:t xml:space="preserve"> pero sí una Autorización Electrónica de Viaje (eTA, por sus siglas en inglés). Dicho permiso se tramita vía electrónica o en las sedes de la Embajada de Canadá en México, y es válida durante cinco años o hasta que el pasaporte finalice su vigencia, lo que suceda primero; y tiene un costo de 7 dólares canadienses (aprox.).</w:t>
      </w:r>
    </w:p>
    <w:p>
      <w:pPr>
        <w:pStyle w:val="ListParagraph"/>
        <w:widowControl w:val="false"/>
        <w:numPr>
          <w:ilvl w:val="0"/>
          <w:numId w:val="2"/>
        </w:numPr>
        <w:jc w:val="both"/>
        <w:textAlignment w:val="baseline"/>
        <w:rPr>
          <w:rFonts w:ascii="Arial" w:hAnsi="Arial" w:cs="Arial"/>
          <w:color w:val="000000"/>
          <w:sz w:val="18"/>
          <w:szCs w:val="18"/>
          <w:lang w:val="es-ES_tradnl" w:eastAsia="es-ES"/>
        </w:rPr>
      </w:pPr>
      <w:r>
        <w:rPr>
          <w:rFonts w:cs="Arial" w:ascii="Arial" w:hAnsi="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sz w:val="18"/>
          <w:szCs w:val="18"/>
          <w:lang w:val="es-ES_tradnl" w:eastAsia="es-ES"/>
        </w:rPr>
      </w:pPr>
      <w:r>
        <w:rPr>
          <w:rFonts w:cs="Arial" w:ascii="Arial" w:hAnsi="Arial"/>
          <w:sz w:val="18"/>
          <w:szCs w:val="18"/>
        </w:rPr>
        <w:t>Tourmundial no se hace responsable de los atrasos o irregularidades que puedan ocurrir a los pasajeros con el transporte, ya sea aéreo o terrestre (tráfico, descomposturas, averías, nieve en autovías, etc...).</w:t>
      </w:r>
    </w:p>
    <w:p>
      <w:pPr>
        <w:pStyle w:val="ListParagraph"/>
        <w:widowControl w:val="false"/>
        <w:numPr>
          <w:ilvl w:val="0"/>
          <w:numId w:val="6"/>
        </w:numPr>
        <w:jc w:val="both"/>
        <w:textAlignment w:val="baseline"/>
        <w:rPr>
          <w:rFonts w:ascii="Arial" w:hAnsi="Arial" w:cs="Arial"/>
          <w:sz w:val="18"/>
          <w:szCs w:val="18"/>
        </w:rPr>
      </w:pPr>
      <w:r>
        <w:rPr>
          <w:rFonts w:cs="Arial" w:ascii="Arial" w:hAnsi="Arial"/>
          <w:sz w:val="18"/>
          <w:szCs w:val="18"/>
        </w:rPr>
        <w:t>Todos los servicios del tren son de habla inglesa, los servicios de servicios terrestres son de habla hispana.</w:t>
      </w:r>
    </w:p>
    <w:p>
      <w:pPr>
        <w:pStyle w:val="ListParagraph"/>
        <w:widowControl w:val="false"/>
        <w:numPr>
          <w:ilvl w:val="0"/>
          <w:numId w:val="6"/>
        </w:numPr>
        <w:jc w:val="both"/>
        <w:textAlignment w:val="baseline"/>
        <w:rPr>
          <w:rFonts w:ascii="Arial" w:hAnsi="Arial" w:cs="Arial"/>
          <w:sz w:val="18"/>
          <w:szCs w:val="18"/>
        </w:rPr>
      </w:pPr>
      <w:r>
        <w:rPr>
          <w:rFonts w:cs="Arial" w:ascii="Arial" w:hAnsi="Arial"/>
          <w:sz w:val="18"/>
          <w:szCs w:val="18"/>
        </w:rPr>
        <w:t>El precio del viaje ha sido calculado en base a tipos de cambio, tarifas de transporte, combustible y tasas e impuestos aplicables en la fecha de edición del folleto o de posteriores que, en su caso, se hayan hecho públicas de manera impresa. Estas modificaciones serán notificadas por cualquier medio, pudiendo desistir del viaje, sin penalización, o aceptar la modificación.</w:t>
      </w:r>
    </w:p>
    <w:p>
      <w:pPr>
        <w:pStyle w:val="ListParagraph"/>
        <w:widowControl w:val="false"/>
        <w:numPr>
          <w:ilvl w:val="0"/>
          <w:numId w:val="6"/>
        </w:numPr>
        <w:jc w:val="both"/>
        <w:textAlignment w:val="baseline"/>
        <w:rPr>
          <w:rFonts w:ascii="Arial" w:hAnsi="Arial" w:cs="Arial"/>
          <w:sz w:val="18"/>
          <w:szCs w:val="18"/>
        </w:rPr>
      </w:pPr>
      <w:r>
        <w:rPr>
          <w:rFonts w:cs="Arial" w:ascii="Arial" w:hAnsi="Arial"/>
          <w:sz w:val="18"/>
          <w:szCs w:val="18"/>
        </w:rPr>
        <w:t>El hotelería será reconfirmados 30 días antes de la salida. Los hoteles serán confirmados en base a los publicados en el programa, pudiendo variar en función de la disponibilidad en el momento de recibir la solicitud de reserva. En caso de no poder ofrecer los hoteles del programa, se ofrecerán otros hoteles de categoría similar a la solicitada, quedando esto último especificado en nuestra respuesta a la reserva. Una vez aceptada, no aplicará ninguna reclamación por el cambio de hoteles. Las habitaciones de los hoteles son categoría estándar, que en la mayoría de los casos no tiene vistas. En caso de requerir vistas específicas no dude en consultar suplemento.</w:t>
      </w:r>
    </w:p>
    <w:p>
      <w:pPr>
        <w:pStyle w:val="ListParagraph"/>
        <w:widowControl w:val="false"/>
        <w:numPr>
          <w:ilvl w:val="0"/>
          <w:numId w:val="6"/>
        </w:numPr>
        <w:jc w:val="both"/>
        <w:textAlignment w:val="baseline"/>
        <w:rPr>
          <w:rFonts w:ascii="Arial" w:hAnsi="Arial" w:cs="Arial"/>
          <w:sz w:val="18"/>
          <w:szCs w:val="18"/>
        </w:rPr>
      </w:pPr>
      <w:r>
        <w:rPr>
          <w:rFonts w:cs="Arial" w:ascii="Arial" w:hAnsi="Arial"/>
          <w:sz w:val="18"/>
          <w:szCs w:val="18"/>
        </w:rPr>
        <w:t>Todos los hoteles en Canadá exigen al pasajero una tarjeta de crédito o un depósito en efectivo para como garantía poder facilitar los servicios de llamadas telefónicas, minibar, lavandería, cargos por servicio de habitación, etc.</w:t>
      </w:r>
    </w:p>
    <w:p>
      <w:pPr>
        <w:pStyle w:val="ListParagraph"/>
        <w:widowControl w:val="false"/>
        <w:numPr>
          <w:ilvl w:val="0"/>
          <w:numId w:val="6"/>
        </w:numPr>
        <w:jc w:val="both"/>
        <w:textAlignment w:val="baseline"/>
        <w:rPr>
          <w:rFonts w:ascii="Arial" w:hAnsi="Arial" w:cs="Arial"/>
          <w:sz w:val="18"/>
          <w:szCs w:val="18"/>
        </w:rPr>
      </w:pPr>
      <w:r>
        <w:rPr>
          <w:rFonts w:cs="Arial" w:ascii="Arial" w:hAnsi="Arial"/>
          <w:sz w:val="18"/>
          <w:szCs w:val="18"/>
        </w:rPr>
        <w:t>En los casos en que se requiera cambio de hotel por no poder confirmar toda la estancia, los traslados de un hotel a otro durante la estancia de los pasajeros no están incluidos. En caso de tener más de un hotel en una misma ciudad, les rogamos soliciten los traslados oportunamente (opcionales). Los traslados que no se proporcionen por que los pasajeros no hayan contactado con nuestro guía, no serán reembolsados si los pasajeros no llaman a nuestras oficinas en el momento del traslado. Los pasajeros con noches extra que no hayan sido reservadas a través de Tourmundial, pierden su derecho a traslados de entrada y/o salida. Los pasajeros con noches extra en hoteles distintos a los especificados en el programa deberán realizar el cambio de hotel por su cuenta. En caso contrario deberán solicitar el traslado.</w:t>
      </w:r>
    </w:p>
    <w:p>
      <w:pPr>
        <w:pStyle w:val="ListParagraph"/>
        <w:widowControl w:val="false"/>
        <w:numPr>
          <w:ilvl w:val="0"/>
          <w:numId w:val="6"/>
        </w:numPr>
        <w:jc w:val="both"/>
        <w:textAlignment w:val="baseline"/>
        <w:rPr>
          <w:rFonts w:ascii="Arial" w:hAnsi="Arial" w:cs="Arial"/>
          <w:sz w:val="18"/>
          <w:szCs w:val="18"/>
        </w:rPr>
      </w:pPr>
      <w:r>
        <w:rPr>
          <w:rFonts w:cs="Arial" w:ascii="Arial" w:hAnsi="Arial"/>
          <w:sz w:val="18"/>
          <w:szCs w:val="18"/>
        </w:rPr>
        <w:t>No se incluye manejo de equipaje en los aeropuertos. El cargo por maleta es de $5 por pieza, por movimiento.</w:t>
      </w:r>
    </w:p>
    <w:p>
      <w:pPr>
        <w:pStyle w:val="ListParagraph"/>
        <w:widowControl w:val="false"/>
        <w:numPr>
          <w:ilvl w:val="0"/>
          <w:numId w:val="6"/>
        </w:numPr>
        <w:jc w:val="both"/>
        <w:textAlignment w:val="baseline"/>
        <w:rPr>
          <w:rFonts w:ascii="Arial" w:hAnsi="Arial" w:cs="Arial"/>
          <w:sz w:val="18"/>
          <w:szCs w:val="18"/>
        </w:rPr>
      </w:pPr>
      <w:r>
        <w:rPr>
          <w:rFonts w:cs="Arial" w:ascii="Arial" w:hAnsi="Arial"/>
          <w:sz w:val="18"/>
          <w:szCs w:val="18"/>
        </w:rPr>
        <w:t>En caso de extravío de equipaje por parte de las líneas aéreas, será responsabilidad del pasajero llamar directamente a la línea aérea para tramitar la entrega o compensación que pueda aplicar. Tourmundial MX . no se hará responsable de ninguna tramitación.</w:t>
      </w:r>
    </w:p>
    <w:p>
      <w:pPr>
        <w:pStyle w:val="ListParagraph"/>
        <w:widowControl w:val="false"/>
        <w:numPr>
          <w:ilvl w:val="0"/>
          <w:numId w:val="6"/>
        </w:numPr>
        <w:jc w:val="both"/>
        <w:textAlignment w:val="baseline"/>
        <w:rPr>
          <w:rFonts w:ascii="Arial" w:hAnsi="Arial" w:cs="Arial"/>
          <w:sz w:val="18"/>
          <w:szCs w:val="18"/>
        </w:rPr>
      </w:pPr>
      <w:r>
        <w:rPr>
          <w:rFonts w:cs="Arial" w:ascii="Arial" w:hAnsi="Arial"/>
          <w:sz w:val="18"/>
          <w:szCs w:val="18"/>
        </w:rPr>
        <w:t>En aeropuertos, terminales de cruceros y de trenes, el tiempo de espera de nuestros guías después de la hora convenida será de máximo 1.5 horas. Después de este tiempo el pasajero deberá utilizar otro medio de transporte y no aplicará ningún reembolso. La única excepción se considerará si el pasajero llama a nuestra oficina antes de dicho lapso de tiempo para informar de su retraso y quedará a discreción del proveedor en destino. ofrecer el servicio en un horario diferente.</w:t>
      </w:r>
    </w:p>
    <w:p>
      <w:pPr>
        <w:pStyle w:val="ListParagraph"/>
        <w:widowControl w:val="false"/>
        <w:numPr>
          <w:ilvl w:val="0"/>
          <w:numId w:val="6"/>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Consulte suplemento para traslados desde y/o hasta el aeropuerto en horario nocturno.</w:t>
      </w:r>
    </w:p>
    <w:p>
      <w:pPr>
        <w:pStyle w:val="ListParagraph"/>
        <w:widowControl w:val="false"/>
        <w:numPr>
          <w:ilvl w:val="0"/>
          <w:numId w:val="6"/>
        </w:numPr>
        <w:jc w:val="both"/>
        <w:textAlignment w:val="baseline"/>
        <w:rPr>
          <w:rFonts w:ascii="Arial" w:hAnsi="Arial" w:cs="Arial"/>
          <w:sz w:val="18"/>
          <w:szCs w:val="18"/>
        </w:rPr>
      </w:pPr>
      <w:r>
        <w:rPr>
          <w:rFonts w:cs="Arial" w:ascii="Arial" w:hAnsi="Arial"/>
          <w:sz w:val="18"/>
          <w:szCs w:val="18"/>
        </w:rPr>
        <w:t>La propina es obligatoria en Canadá, oscilando del 15%, 18% o 20% dependiendo del establecimiento. Propinas para maleteros en aeropuertos CAD$ 3.00, en hoteles CAD $ 4.00 a $5.00 por pieza, guías y/o conductores CAD$ $ 8.00 por persona p/día.</w:t>
      </w:r>
    </w:p>
    <w:p>
      <w:pPr>
        <w:pStyle w:val="ListParagraph"/>
        <w:widowControl w:val="false"/>
        <w:numPr>
          <w:ilvl w:val="0"/>
          <w:numId w:val="6"/>
        </w:numPr>
        <w:jc w:val="both"/>
        <w:textAlignment w:val="baseline"/>
        <w:rPr>
          <w:rFonts w:ascii="Arial" w:hAnsi="Arial" w:cs="Arial"/>
          <w:sz w:val="18"/>
          <w:szCs w:val="18"/>
        </w:rPr>
      </w:pPr>
      <w:r>
        <w:rPr>
          <w:rFonts w:cs="Arial" w:ascii="Arial" w:hAnsi="Arial"/>
          <w:sz w:val="18"/>
          <w:szCs w:val="18"/>
        </w:rPr>
        <w:t>El Shuttle de salida desde el Hotel de Banff al Aeropuerto de Calgary tiene una duraciónde 2.5 horas. El primer shuttle es en la mañana (08:00am), por lo que el vuelo de salida deberá ser e n la tarde.</w:t>
      </w:r>
    </w:p>
    <w:p>
      <w:pPr>
        <w:pStyle w:val="ListParagraph"/>
        <w:widowControl w:val="false"/>
        <w:numPr>
          <w:ilvl w:val="0"/>
          <w:numId w:val="6"/>
        </w:numPr>
        <w:jc w:val="both"/>
        <w:textAlignment w:val="baseline"/>
        <w:rPr>
          <w:rFonts w:ascii="Arial" w:hAnsi="Arial" w:cs="Arial"/>
          <w:sz w:val="18"/>
          <w:szCs w:val="18"/>
        </w:rPr>
      </w:pPr>
      <w:r>
        <w:rPr>
          <w:rFonts w:cs="Arial" w:ascii="Arial" w:hAnsi="Arial"/>
          <w:sz w:val="18"/>
          <w:szCs w:val="18"/>
        </w:rPr>
        <w:t>En caso de que el cliente desista de realizar alguno de los servicios solicitados o contratados, no tendrá derecho a la devolución de las cantidades que hubiera abonado.</w:t>
      </w:r>
    </w:p>
    <w:p>
      <w:pPr>
        <w:pStyle w:val="ListParagraph"/>
        <w:widowControl w:val="false"/>
        <w:numPr>
          <w:ilvl w:val="0"/>
          <w:numId w:val="6"/>
        </w:numPr>
        <w:jc w:val="both"/>
        <w:textAlignment w:val="baseline"/>
        <w:rPr>
          <w:rFonts w:ascii="Arial" w:hAnsi="Arial"/>
          <w:sz w:val="18"/>
          <w:szCs w:val="18"/>
        </w:rPr>
      </w:pPr>
      <w:r>
        <w:rPr>
          <w:rFonts w:ascii="Arial" w:hAnsi="Arial"/>
          <w:sz w:val="18"/>
          <w:szCs w:val="18"/>
        </w:rPr>
        <w:t>Habitaciones estándar. En caso de preferir habitaciones superiores favor de consultar</w:t>
      </w:r>
    </w:p>
    <w:p>
      <w:pPr>
        <w:pStyle w:val="ListParagraph"/>
        <w:widowControl w:val="false"/>
        <w:numPr>
          <w:ilvl w:val="0"/>
          <w:numId w:val="6"/>
        </w:numPr>
        <w:jc w:val="both"/>
        <w:textAlignment w:val="baseline"/>
        <w:rPr>
          <w:rFonts w:ascii="Arial" w:hAnsi="Arial"/>
          <w:b/>
          <w:b/>
          <w:bCs/>
          <w:i/>
          <w:i/>
          <w:iCs/>
          <w:sz w:val="18"/>
          <w:szCs w:val="18"/>
        </w:rPr>
      </w:pPr>
      <w:r>
        <w:rPr>
          <w:rFonts w:ascii="Arial" w:hAnsi="Arial"/>
          <w:b/>
          <w:bCs/>
          <w:i/>
          <w:iCs/>
          <w:sz w:val="18"/>
          <w:szCs w:val="18"/>
        </w:rPr>
        <w:t>La mayoría de las actividades de invierno operan a partir de diciembre 1.</w:t>
      </w:r>
    </w:p>
    <w:p>
      <w:pPr>
        <w:pStyle w:val="ListParagraph"/>
        <w:widowControl w:val="false"/>
        <w:numPr>
          <w:ilvl w:val="0"/>
          <w:numId w:val="6"/>
        </w:numPr>
        <w:jc w:val="both"/>
        <w:textAlignment w:val="baseline"/>
        <w:rPr>
          <w:rFonts w:ascii="Arial" w:hAnsi="Arial"/>
          <w:sz w:val="18"/>
          <w:szCs w:val="18"/>
        </w:rPr>
      </w:pPr>
      <w:r>
        <w:rPr>
          <w:rFonts w:ascii="Arial" w:hAnsi="Arial"/>
          <w:sz w:val="18"/>
          <w:szCs w:val="18"/>
        </w:rPr>
        <w:t>Los hoteles Fairmont cobran suplemento por la segunda cama en las habitaciones dobles.</w:t>
      </w:r>
    </w:p>
    <w:p>
      <w:pPr>
        <w:pStyle w:val="ListParagraph"/>
        <w:widowControl w:val="false"/>
        <w:numPr>
          <w:ilvl w:val="0"/>
          <w:numId w:val="6"/>
        </w:numPr>
        <w:jc w:val="both"/>
        <w:textAlignment w:val="baseline"/>
        <w:rPr>
          <w:rFonts w:ascii="Arial" w:hAnsi="Arial"/>
          <w:sz w:val="18"/>
          <w:szCs w:val="18"/>
        </w:rPr>
      </w:pPr>
      <w:r>
        <w:rPr>
          <w:rFonts w:ascii="Arial" w:hAnsi="Arial"/>
          <w:sz w:val="18"/>
          <w:szCs w:val="18"/>
        </w:rPr>
        <w:t>La visita de Lake Louise (Servicios en inglés) solo opera de Diciembre 1 2024 a Abril 18 2025. Fuera de esa fecha se dará opción alternativa.</w:t>
      </w:r>
    </w:p>
    <w:p>
      <w:pPr>
        <w:pStyle w:val="ListParagraph"/>
        <w:widowControl w:val="false"/>
        <w:numPr>
          <w:ilvl w:val="0"/>
          <w:numId w:val="2"/>
        </w:numPr>
        <w:jc w:val="both"/>
        <w:textAlignment w:val="baseline"/>
        <w:rPr>
          <w:rFonts w:ascii="Arial" w:hAnsi="Arial" w:cs="Arial"/>
          <w:b/>
          <w:b/>
          <w:sz w:val="18"/>
          <w:szCs w:val="18"/>
          <w:lang w:val="es-ES_tradnl" w:eastAsia="es-ES"/>
        </w:rPr>
      </w:pPr>
      <w:r>
        <w:rPr>
          <w:rFonts w:cs="Arial" w:ascii="Arial" w:hAnsi="Arial"/>
          <w:b/>
          <w:sz w:val="18"/>
          <w:szCs w:val="18"/>
          <w:lang w:val="es-ES_tradnl" w:eastAsia="es-ES"/>
        </w:rPr>
        <w:t xml:space="preserve">Para poder confirmar los traslados debemos de recibir la información completa de vuelos por lo </w:t>
      </w:r>
      <w:r>
        <w:rPr>
          <w:rFonts w:cs="Arial" w:ascii="Arial" w:hAnsi="Arial"/>
          <w:b/>
          <w:sz w:val="18"/>
          <w:szCs w:val="18"/>
          <w:u w:val="single"/>
          <w:lang w:val="es-ES_tradnl" w:eastAsia="es-ES"/>
        </w:rPr>
        <w:t>menos 10 días hábiles antes de</w:t>
      </w:r>
      <w:r>
        <w:rPr>
          <w:rFonts w:cs="Arial" w:ascii="Arial" w:hAnsi="Arial"/>
          <w:b/>
          <w:sz w:val="18"/>
          <w:szCs w:val="18"/>
          <w:lang w:val="es-ES_tradnl" w:eastAsia="es-ES"/>
        </w:rPr>
        <w:t xml:space="preserve"> la fecha de salida, en caso contrario no se podrá proporcionar los servicios de traslados de entrada y/o salida, y no serán reembolsables.</w:t>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AVISO DE PRIVACIDAD:</w:t>
      </w:r>
    </w:p>
    <w:p>
      <w:pPr>
        <w:pStyle w:val="NoSpacing"/>
        <w:widowControl w:val="false"/>
        <w:jc w:val="both"/>
        <w:textAlignment w:val="baseline"/>
        <w:rPr>
          <w:rFonts w:ascii="Arial" w:hAnsi="Arial" w:cs="Arial"/>
          <w:color w:val="FF0000"/>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Style w:val="EnlacedeInternet"/>
            <w:rFonts w:cs="Arial" w:ascii="Arial" w:hAnsi="Arial"/>
            <w:sz w:val="18"/>
            <w:szCs w:val="18"/>
            <w:lang w:val="es-ES"/>
          </w:rPr>
          <w:t>www.tourmundial.com.mx</w:t>
        </w:r>
      </w:hyperlink>
      <w:r>
        <w:rPr>
          <w:rFonts w:cs="Arial" w:ascii="Arial" w:hAnsi="Arial"/>
          <w:sz w:val="18"/>
          <w:szCs w:val="18"/>
          <w:lang w:val="es-ES"/>
        </w:rPr>
        <w:tab/>
      </w:r>
      <w:r>
        <w:rPr>
          <w:rFonts w:cs="Arial" w:ascii="Arial" w:hAnsi="Arial"/>
          <w:color w:val="FF0000"/>
          <w:sz w:val="18"/>
          <w:szCs w:val="18"/>
          <w:lang w:val="es-ES"/>
        </w:rPr>
        <w:tab/>
      </w:r>
    </w:p>
    <w:p>
      <w:pPr>
        <w:pStyle w:val="NoSpacing"/>
        <w:widowControl w:val="false"/>
        <w:jc w:val="both"/>
        <w:textAlignment w:val="baseline"/>
        <w:rPr>
          <w:rFonts w:ascii="Arial" w:hAnsi="Arial" w:cs="Arial"/>
          <w:color w:val="FF0000"/>
          <w:sz w:val="18"/>
          <w:szCs w:val="18"/>
          <w:lang w:val="es-ES"/>
        </w:rPr>
      </w:pPr>
      <w:r>
        <w:rPr>
          <w:rFonts w:cs="Arial" w:ascii="Arial" w:hAnsi="Arial"/>
          <w:color w:val="FF0000"/>
          <w:sz w:val="18"/>
          <w:szCs w:val="18"/>
          <w:lang w:val="es-ES"/>
        </w:rPr>
      </w:r>
    </w:p>
    <w:p>
      <w:pPr>
        <w:pStyle w:val="NoSpacing"/>
        <w:widowControl w:val="false"/>
        <w:jc w:val="both"/>
        <w:textAlignment w:val="baseline"/>
        <w:rPr>
          <w:rFonts w:ascii="Arial" w:hAnsi="Arial" w:cs="Arial"/>
          <w:color w:val="FF0000"/>
          <w:sz w:val="18"/>
          <w:szCs w:val="18"/>
          <w:lang w:val="es-ES"/>
        </w:rPr>
      </w:pPr>
      <w:r>
        <w:rPr>
          <w:rFonts w:cs="Arial" w:ascii="Arial" w:hAnsi="Arial"/>
          <w:color w:val="FF0000"/>
          <w:sz w:val="18"/>
          <w:szCs w:val="18"/>
          <w:lang w:val="es-ES"/>
        </w:rPr>
      </w:r>
    </w:p>
    <w:p>
      <w:pPr>
        <w:pStyle w:val="NoSpacing"/>
        <w:widowControl w:val="false"/>
        <w:jc w:val="center"/>
        <w:textAlignment w:val="baseline"/>
        <w:rPr>
          <w:rFonts w:ascii="Arial" w:hAnsi="Arial" w:cs="Arial"/>
          <w:b/>
          <w:b/>
          <w:color w:val="E36C0A" w:themeColor="accent6" w:themeShade="bf"/>
          <w:sz w:val="18"/>
          <w:szCs w:val="18"/>
          <w:u w:val="single"/>
          <w:lang w:val="es-ES" w:eastAsia="es-ES"/>
        </w:rPr>
      </w:pPr>
      <w:r>
        <w:rPr>
          <w:rFonts w:cs="Arial" w:ascii="Arial" w:hAnsi="Arial"/>
          <w:b/>
          <w:color w:val="E36C0A" w:themeColor="accent6" w:themeShade="bf"/>
          <w:sz w:val="18"/>
          <w:szCs w:val="18"/>
          <w:u w:val="single"/>
          <w:lang w:val="es-ES" w:eastAsia="es-ES"/>
        </w:rPr>
        <w:t>VIGENCIA DEL 01 DE NOVIEMBRE 2024 AL 26 DE ABRIL 2025</w:t>
      </w:r>
    </w:p>
    <w:p>
      <w:pPr>
        <w:pStyle w:val="NoSpacing"/>
        <w:widowControl w:val="false"/>
        <w:jc w:val="center"/>
        <w:textAlignment w:val="baseline"/>
        <w:rPr>
          <w:rFonts w:ascii="Arial" w:hAnsi="Arial" w:cs="Arial"/>
          <w:b/>
          <w:b/>
          <w:sz w:val="18"/>
          <w:szCs w:val="18"/>
          <w:lang w:val="es-ES" w:eastAsia="es-ES"/>
        </w:rPr>
      </w:pPr>
      <w:r>
        <w:rPr>
          <w:rFonts w:cs="Arial" w:ascii="Arial" w:hAnsi="Arial"/>
          <w:b/>
          <w:sz w:val="18"/>
          <w:szCs w:val="18"/>
          <w:highlight w:val="cyan"/>
          <w:lang w:val="es-ES" w:eastAsia="es-ES"/>
        </w:rPr>
        <w:t>PARA SOLICITAR RESERVA, SE REQUIERE DE PREPAGO</w:t>
      </w:r>
      <w:r>
        <w:rPr>
          <w:rFonts w:cs="Arial" w:ascii="Arial" w:hAnsi="Arial"/>
          <w:b/>
          <w:sz w:val="18"/>
          <w:szCs w:val="18"/>
          <w:highlight w:val="cyan"/>
        </w:rPr>
        <w:t xml:space="preserve"> </w:t>
      </w:r>
    </w:p>
    <w:tbl>
      <w:tblPr>
        <w:tblStyle w:val="Sombreadomedio1-nfasis6"/>
        <w:tblW w:w="821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8218"/>
      </w:tblGrid>
      <w:tr>
        <w:trPr>
          <w:trHeight w:val="298" w:hRule="atLeast"/>
          <w:cnfStyle w:val="100000000000" w:firstRow="1" w:lastRow="0" w:firstColumn="0" w:lastColumn="0" w:oddVBand="0" w:evenVBand="0" w:oddHBand="0" w:evenHBand="0" w:firstRowFirstColumn="0" w:firstRowLastColumn="0" w:lastRowFirstColumn="0" w:lastRowLastColumn="0"/>
        </w:trPr>
        <w:tc>
          <w:tcPr>
            <w:tcW w:w="8218"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vAlign w:val="center"/>
          </w:tcPr>
          <w:p>
            <w:pPr>
              <w:pStyle w:val="NoSpacing"/>
              <w:widowControl w:val="false"/>
              <w:suppressAutoHyphens w:val="true"/>
              <w:spacing w:before="0" w:after="0"/>
              <w:jc w:val="center"/>
              <w:textAlignment w:val="baseline"/>
              <w:rPr>
                <w:rFonts w:ascii="Arial" w:hAnsi="Arial" w:cs="Arial"/>
                <w:color w:val="auto"/>
                <w:sz w:val="18"/>
                <w:szCs w:val="18"/>
                <w:u w:val="single"/>
                <w:lang w:val="es-ES" w:eastAsia="es-ES"/>
              </w:rPr>
            </w:pPr>
            <w:r>
              <w:rPr>
                <w:rFonts w:cs="Arial" w:ascii="Arial" w:hAnsi="Arial"/>
                <w:b/>
                <w:bCs/>
                <w:color w:val="auto"/>
                <w:kern w:val="0"/>
                <w:sz w:val="18"/>
                <w:szCs w:val="18"/>
                <w:u w:val="single"/>
                <w:lang w:val="es-ES" w:eastAsia="es-ES" w:bidi="ar-SA"/>
              </w:rPr>
              <w:t>POLÍTICAS DE CANCELACIÓN</w:t>
            </w:r>
          </w:p>
        </w:tc>
      </w:tr>
      <w:tr>
        <w:trPr>
          <w:trHeight w:val="702" w:hRule="atLeast"/>
          <w:cnfStyle w:val="000000100000" w:firstRow="0" w:lastRow="0" w:firstColumn="0" w:lastColumn="0" w:oddVBand="0" w:evenVBand="0" w:oddHBand="1" w:evenHBand="0" w:firstRowFirstColumn="0" w:firstRowLastColumn="0" w:lastRowFirstColumn="0" w:lastRowLastColumn="0"/>
        </w:trPr>
        <w:tc>
          <w:tcPr>
            <w:tcW w:w="8218"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tcPr>
          <w:p>
            <w:pPr>
              <w:pStyle w:val="NoSpacing"/>
              <w:widowControl w:val="false"/>
              <w:numPr>
                <w:ilvl w:val="0"/>
                <w:numId w:val="5"/>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eastAsia="en-US" w:bidi="ar-SA"/>
              </w:rPr>
              <w:t xml:space="preserve">Una vez realizada la reservación y hasta </w:t>
            </w:r>
            <w:r>
              <w:rPr>
                <w:rFonts w:cs="Arial" w:ascii="Arial" w:hAnsi="Arial"/>
                <w:b/>
                <w:bCs/>
                <w:kern w:val="0"/>
                <w:sz w:val="18"/>
                <w:szCs w:val="18"/>
                <w:lang w:eastAsia="en-US" w:bidi="ar-SA"/>
              </w:rPr>
              <w:t>40</w:t>
            </w:r>
            <w:r>
              <w:rPr>
                <w:rFonts w:cs="Arial" w:ascii="Arial" w:hAnsi="Arial"/>
                <w:b/>
                <w:bCs/>
                <w:kern w:val="0"/>
                <w:sz w:val="18"/>
                <w:szCs w:val="18"/>
                <w:lang w:eastAsia="en-US" w:bidi="ar-SA"/>
              </w:rPr>
              <w:t xml:space="preserve"> días antes aplica cargos del 15% del total del viaje por pasajero.</w:t>
            </w:r>
          </w:p>
          <w:p>
            <w:pPr>
              <w:pStyle w:val="NoSpacing"/>
              <w:widowControl w:val="false"/>
              <w:numPr>
                <w:ilvl w:val="0"/>
                <w:numId w:val="5"/>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eastAsia="en-US" w:bidi="ar-SA"/>
              </w:rPr>
              <w:t xml:space="preserve">Entre </w:t>
            </w:r>
            <w:r>
              <w:rPr>
                <w:rFonts w:cs="Arial" w:ascii="Arial" w:hAnsi="Arial"/>
                <w:b/>
                <w:bCs/>
                <w:kern w:val="0"/>
                <w:sz w:val="18"/>
                <w:szCs w:val="18"/>
                <w:lang w:eastAsia="en-US" w:bidi="ar-SA"/>
              </w:rPr>
              <w:t>39</w:t>
            </w:r>
            <w:r>
              <w:rPr>
                <w:rFonts w:cs="Arial" w:ascii="Arial" w:hAnsi="Arial"/>
                <w:b/>
                <w:bCs/>
                <w:kern w:val="0"/>
                <w:sz w:val="18"/>
                <w:szCs w:val="18"/>
                <w:lang w:eastAsia="en-US" w:bidi="ar-SA"/>
              </w:rPr>
              <w:t xml:space="preserve"> y 20 días antes de la fecha de llegada aplican cargos del 50% del total del viaje por pasajero.</w:t>
            </w:r>
          </w:p>
          <w:p>
            <w:pPr>
              <w:pStyle w:val="NoSpacing"/>
              <w:widowControl w:val="false"/>
              <w:numPr>
                <w:ilvl w:val="0"/>
                <w:numId w:val="5"/>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eastAsia="en-US" w:bidi="ar-SA"/>
              </w:rPr>
              <w:t>Entre el 19 y un día antes de la fecha de llegada aplica a cargo del 100% del total del viaje por pasajero.</w:t>
            </w:r>
          </w:p>
          <w:p>
            <w:pPr>
              <w:pStyle w:val="NoSpacing"/>
              <w:widowControl w:val="false"/>
              <w:numPr>
                <w:ilvl w:val="0"/>
                <w:numId w:val="5"/>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eastAsia="en-US" w:bidi="ar-SA"/>
              </w:rPr>
              <w:t>Una vez confirmada la reserva, a partir del segundo cambio aplicará un cargo de $40 USD por cambio.</w:t>
            </w:r>
          </w:p>
          <w:p>
            <w:pPr>
              <w:pStyle w:val="NoSpacing"/>
              <w:widowControl w:val="false"/>
              <w:numPr>
                <w:ilvl w:val="0"/>
                <w:numId w:val="3"/>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En caso de No Show, aplican 100% de cargos</w:t>
            </w:r>
          </w:p>
          <w:p>
            <w:pPr>
              <w:pStyle w:val="NoSpacing"/>
              <w:widowControl w:val="false"/>
              <w:numPr>
                <w:ilvl w:val="0"/>
                <w:numId w:val="3"/>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Servicios no utilizados son no reembolsables</w:t>
            </w:r>
          </w:p>
          <w:p>
            <w:pPr>
              <w:pStyle w:val="NoSpacing"/>
              <w:widowControl w:val="false"/>
              <w:suppressAutoHyphens w:val="true"/>
              <w:spacing w:before="0" w:after="0"/>
              <w:jc w:val="left"/>
              <w:textAlignment w:val="baseline"/>
              <w:rPr>
                <w:rFonts w:ascii="Arial" w:hAnsi="Arial" w:cs="Arial"/>
                <w:sz w:val="18"/>
                <w:szCs w:val="18"/>
                <w:lang w:val="es-ES_tradnl" w:eastAsia="es-ES"/>
              </w:rPr>
            </w:pPr>
            <w:r>
              <w:rPr>
                <w:rFonts w:cs="Arial" w:ascii="Arial" w:hAnsi="Arial"/>
                <w:b/>
                <w:bCs/>
                <w:sz w:val="18"/>
                <w:szCs w:val="18"/>
                <w:lang w:val="es-ES_tradnl" w:eastAsia="es-ES"/>
              </w:rPr>
            </w:r>
          </w:p>
        </w:tc>
      </w:tr>
    </w:tbl>
    <w:p>
      <w:pPr>
        <w:pStyle w:val="NoSpacing"/>
        <w:widowControl w:val="false"/>
        <w:jc w:val="center"/>
        <w:textAlignment w:val="baseline"/>
        <w:rPr>
          <w:rFonts w:ascii="Arial" w:hAnsi="Arial" w:cs="Arial"/>
          <w:b/>
          <w:b/>
          <w:sz w:val="18"/>
          <w:szCs w:val="18"/>
          <w:u w:val="single"/>
          <w:lang w:val="es-ES" w:eastAsia="es-ES"/>
        </w:rPr>
      </w:pPr>
      <w:r>
        <w:rPr>
          <w:rFonts w:cs="Arial" w:ascii="Arial" w:hAnsi="Arial"/>
          <w:b/>
          <w:sz w:val="18"/>
          <w:szCs w:val="18"/>
          <w:u w:val="single"/>
          <w:lang w:val="es-ES" w:eastAsia="es-ES"/>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Arial">
    <w:charset w:val="01"/>
    <w:family w:val="swiss"/>
    <w:pitch w:val="variable"/>
  </w:font>
  <w:font w:name="Courier New">
    <w:charset w:val="01"/>
    <w:family w:val="modern"/>
    <w:pitch w:val="fixed"/>
  </w:font>
  <w:font w:name="Wingdings">
    <w:charset w:val="02"/>
    <w:family w:val="auto"/>
    <w:pitch w:val="variable"/>
  </w:font>
  <w:font w:name="Lucida Sans Unicode">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www.tourmundial.com.mx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jc w:val="right"/>
      <w:rPr>
        <w:b/>
        <w:b/>
      </w:rPr>
    </w:pPr>
    <w:r>
      <w:rPr>
        <w:b/>
      </w:rPr>
      <mc:AlternateContent>
        <mc:Choice Requires="wps">
          <w:drawing>
            <wp:anchor behindDoc="1" distT="12700" distB="12700" distL="13335" distR="12065" simplePos="0" locked="0" layoutInCell="0" allowOverlap="1" relativeHeight="6" wp14:anchorId="7BE74D10">
              <wp:simplePos x="0" y="0"/>
              <wp:positionH relativeFrom="column">
                <wp:posOffset>-1586230</wp:posOffset>
              </wp:positionH>
              <wp:positionV relativeFrom="paragraph">
                <wp:posOffset>-647700</wp:posOffset>
              </wp:positionV>
              <wp:extent cx="8599805" cy="1104265"/>
              <wp:effectExtent l="13335" t="12700" r="12065" b="12700"/>
              <wp:wrapNone/>
              <wp:docPr id="2" name="1 Rectángulo"/>
              <a:graphic xmlns:a="http://schemas.openxmlformats.org/drawingml/2006/main">
                <a:graphicData uri="http://schemas.microsoft.com/office/word/2010/wordprocessingShape">
                  <wps:wsp>
                    <wps:cNvSpPr/>
                    <wps:spPr>
                      <a:xfrm>
                        <a:off x="0" y="0"/>
                        <a:ext cx="8599680" cy="1104120"/>
                      </a:xfrm>
                      <a:prstGeom prst="rect">
                        <a:avLst/>
                      </a:prstGeom>
                      <a:solidFill>
                        <a:schemeClr val="bg1">
                          <a:lumMod val="65000"/>
                        </a:schemeClr>
                      </a:solidFill>
                      <a:ln>
                        <a:solidFill>
                          <a:srgbClr val="a6a6a6"/>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1 Rectángulo" path="m0,0l-2147483645,0l-2147483645,-2147483646l0,-2147483646xe" fillcolor="#a6a6a6" stroked="t" o:allowincell="f" style="position:absolute;margin-left:-124.9pt;margin-top:-51pt;width:677.1pt;height:86.9pt;mso-wrap-style:none;v-text-anchor:middle" wp14:anchorId="7BE74D10">
              <v:fill o:detectmouseclick="t" type="solid" color2="#595959"/>
              <v:stroke color="#a6a6a6" weight="25560" joinstyle="round" endcap="flat"/>
              <w10:wrap type="none"/>
            </v:rect>
          </w:pict>
        </mc:Fallback>
      </mc:AlternateContent>
      <w:drawing>
        <wp:anchor behindDoc="1" distT="0" distB="0" distL="114300" distR="114300" simplePos="0" locked="0" layoutInCell="0" allowOverlap="1" relativeHeight="11">
          <wp:simplePos x="0" y="0"/>
          <wp:positionH relativeFrom="margin">
            <wp:posOffset>-30480</wp:posOffset>
          </wp:positionH>
          <wp:positionV relativeFrom="topMargin">
            <wp:posOffset>93345</wp:posOffset>
          </wp:positionV>
          <wp:extent cx="2378075" cy="767080"/>
          <wp:effectExtent l="0" t="0" r="0" b="0"/>
          <wp:wrapSquare wrapText="bothSides"/>
          <wp:docPr id="3" name="Imagen 4"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Forma&#10;&#10;Descripción generada automáticamente con confianza media"/>
                  <pic:cNvPicPr>
                    <a:picLocks noChangeAspect="1" noChangeArrowheads="1"/>
                  </pic:cNvPicPr>
                </pic:nvPicPr>
                <pic:blipFill>
                  <a:blip r:embed="rId1"/>
                  <a:stretch>
                    <a:fillRect/>
                  </a:stretch>
                </pic:blipFill>
                <pic:spPr bwMode="auto">
                  <a:xfrm>
                    <a:off x="0" y="0"/>
                    <a:ext cx="2378075" cy="76708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numFmt w:val="bullet"/>
      <w:lvlText w:val=""/>
      <w:lvlJc w:val="left"/>
      <w:pPr>
        <w:tabs>
          <w:tab w:val="num" w:pos="0"/>
        </w:tabs>
        <w:ind w:left="66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E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0038f"/>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Ttulo4">
    <w:name w:val="Heading 4"/>
    <w:basedOn w:val="Normal"/>
    <w:next w:val="Normal"/>
    <w:link w:val="Ttulo4Car"/>
    <w:qFormat/>
    <w:rsid w:val="00891c16"/>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0038f"/>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0038f"/>
    <w:rPr/>
  </w:style>
  <w:style w:type="character" w:styleId="EnlacedeInternet">
    <w:name w:val="Enlace de Internet"/>
    <w:basedOn w:val="DefaultParagraphFont"/>
    <w:uiPriority w:val="99"/>
    <w:unhideWhenUsed/>
    <w:rsid w:val="0040038f"/>
    <w:rPr>
      <w:color w:val="0000FF" w:themeColor="hyperlink"/>
      <w:u w:val="single"/>
    </w:rPr>
  </w:style>
  <w:style w:type="character" w:styleId="EncabezadoCar" w:customStyle="1">
    <w:name w:val="Encabezado Car"/>
    <w:basedOn w:val="DefaultParagraphFont"/>
    <w:qFormat/>
    <w:rsid w:val="0040038f"/>
    <w:rPr/>
  </w:style>
  <w:style w:type="character" w:styleId="TextoindependienteCar" w:customStyle="1">
    <w:name w:val="Texto independiente Car"/>
    <w:basedOn w:val="DefaultParagraphFont"/>
    <w:qFormat/>
    <w:rsid w:val="00465269"/>
    <w:rPr>
      <w:rFonts w:ascii="Tahoma" w:hAnsi="Tahoma" w:eastAsia="Times New Roman" w:cs="Tahoma"/>
      <w:color w:val="000000"/>
      <w:sz w:val="16"/>
      <w:szCs w:val="24"/>
      <w:lang w:val="es-MX" w:eastAsia="ar-SA"/>
    </w:rPr>
  </w:style>
  <w:style w:type="character" w:styleId="Hps" w:customStyle="1">
    <w:name w:val="hps"/>
    <w:basedOn w:val="DefaultParagraphFont"/>
    <w:qFormat/>
    <w:rsid w:val="00e73987"/>
    <w:rPr/>
  </w:style>
  <w:style w:type="character" w:styleId="Hpsatn" w:customStyle="1">
    <w:name w:val="hps atn"/>
    <w:basedOn w:val="DefaultParagraphFont"/>
    <w:qFormat/>
    <w:rsid w:val="00e73987"/>
    <w:rPr/>
  </w:style>
  <w:style w:type="character" w:styleId="Appleconvertedspace" w:customStyle="1">
    <w:name w:val="apple-converted-space"/>
    <w:basedOn w:val="DefaultParagraphFont"/>
    <w:qFormat/>
    <w:rsid w:val="00857804"/>
    <w:rPr/>
  </w:style>
  <w:style w:type="character" w:styleId="Ttulo4Car" w:customStyle="1">
    <w:name w:val="Título 4 Car"/>
    <w:basedOn w:val="DefaultParagraphFont"/>
    <w:qFormat/>
    <w:rsid w:val="00891c16"/>
    <w:rPr>
      <w:rFonts w:ascii="Times New Roman" w:hAnsi="Times New Roman" w:eastAsia="Times New Roman" w:cs="Times New Roman"/>
      <w:b/>
      <w:bCs/>
      <w:sz w:val="20"/>
      <w:szCs w:val="20"/>
      <w:lang w:eastAsia="es-ES"/>
    </w:rPr>
  </w:style>
  <w:style w:type="character" w:styleId="TextodegloboCar" w:customStyle="1">
    <w:name w:val="Texto de globo Car"/>
    <w:basedOn w:val="DefaultParagraphFont"/>
    <w:link w:val="BalloonText"/>
    <w:uiPriority w:val="99"/>
    <w:semiHidden/>
    <w:qFormat/>
    <w:rsid w:val="00404745"/>
    <w:rPr>
      <w:rFonts w:ascii="Tahoma" w:hAnsi="Tahoma" w:cs="Tahoma"/>
      <w:sz w:val="16"/>
      <w:szCs w:val="16"/>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link w:val="TextoindependienteCar"/>
    <w:unhideWhenUsed/>
    <w:rsid w:val="00465269"/>
    <w:pPr>
      <w:suppressAutoHyphens w:val="true"/>
      <w:spacing w:lineRule="auto" w:line="240" w:before="0" w:after="0"/>
    </w:pPr>
    <w:rPr>
      <w:rFonts w:ascii="Tahoma" w:hAnsi="Tahoma" w:eastAsia="Times New Roman" w:cs="Tahoma"/>
      <w:color w:val="000000"/>
      <w:sz w:val="16"/>
      <w:szCs w:val="24"/>
      <w:lang w:val="es-MX" w:eastAsia="ar-SA"/>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1"/>
    <w:qFormat/>
    <w:rsid w:val="0040038f"/>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0038f"/>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0038f"/>
    <w:pPr>
      <w:tabs>
        <w:tab w:val="clear" w:pos="708"/>
        <w:tab w:val="center" w:pos="4252" w:leader="none"/>
        <w:tab w:val="right" w:pos="8504" w:leader="none"/>
      </w:tabs>
      <w:spacing w:lineRule="auto" w:line="240" w:before="0" w:after="0"/>
    </w:pPr>
    <w:rPr/>
  </w:style>
  <w:style w:type="paragraph" w:styleId="ListParagraph">
    <w:name w:val="List Paragraph"/>
    <w:basedOn w:val="Normal"/>
    <w:uiPriority w:val="34"/>
    <w:qFormat/>
    <w:rsid w:val="00196105"/>
    <w:pPr>
      <w:spacing w:before="0" w:after="200"/>
      <w:ind w:left="720" w:hanging="0"/>
      <w:contextualSpacing/>
    </w:pPr>
    <w:rPr/>
  </w:style>
  <w:style w:type="paragraph" w:styleId="BalloonText">
    <w:name w:val="Balloon Text"/>
    <w:basedOn w:val="Normal"/>
    <w:link w:val="TextodegloboCar"/>
    <w:uiPriority w:val="99"/>
    <w:semiHidden/>
    <w:unhideWhenUsed/>
    <w:qFormat/>
    <w:rsid w:val="00404745"/>
    <w:pPr>
      <w:spacing w:lineRule="auto" w:line="240" w:before="0" w:after="0"/>
    </w:pPr>
    <w:rPr>
      <w:rFonts w:ascii="Tahoma" w:hAnsi="Tahoma" w:cs="Tahoma"/>
      <w:sz w:val="16"/>
      <w:szCs w:val="16"/>
    </w:rPr>
  </w:style>
  <w:style w:type="paragraph" w:styleId="NormalWeb">
    <w:name w:val="Normal (Web)"/>
    <w:basedOn w:val="Normal"/>
    <w:uiPriority w:val="99"/>
    <w:unhideWhenUsed/>
    <w:qFormat/>
    <w:rsid w:val="00865fc6"/>
    <w:pPr>
      <w:spacing w:lineRule="auto" w:line="240" w:beforeAutospacing="1" w:afterAutospacing="1"/>
    </w:pPr>
    <w:rPr>
      <w:rFonts w:ascii="Times New Roman" w:hAnsi="Times New Roman" w:eastAsia="Times New Roman" w:cs="Times New Roman"/>
      <w:sz w:val="24"/>
      <w:szCs w:val="24"/>
      <w:lang w:val="en-US"/>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40038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uadrculamedia1-nfasis6">
    <w:name w:val="Medium Grid 1 Accent 6"/>
    <w:basedOn w:val="Tablanormal"/>
    <w:uiPriority w:val="67"/>
    <w:rsid w:val="00273c98"/>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273c98"/>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273c98"/>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Listamedia1-nfasis6">
    <w:name w:val="Medium List 1 Accent 6"/>
    <w:basedOn w:val="Tablanormal"/>
    <w:uiPriority w:val="65"/>
    <w:rsid w:val="00273c98"/>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com.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com.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46A810-E726-4797-87DC-E8AA380251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FB31E4-D456-4593-9C07-FF5442A46AC5}">
  <ds:schemaRefs>
    <ds:schemaRef ds:uri="http://schemas.openxmlformats.org/officeDocument/2006/bibliography"/>
  </ds:schemaRefs>
</ds:datastoreItem>
</file>

<file path=customXml/itemProps3.xml><?xml version="1.0" encoding="utf-8"?>
<ds:datastoreItem xmlns:ds="http://schemas.openxmlformats.org/officeDocument/2006/customXml" ds:itemID="{EE283000-8D41-47E6-8184-0A9B7ED49C21}">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4.xml><?xml version="1.0" encoding="utf-8"?>
<ds:datastoreItem xmlns:ds="http://schemas.openxmlformats.org/officeDocument/2006/customXml" ds:itemID="{432F7508-A9BE-4636-9D58-F1878D4F72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639</TotalTime>
  <Application>LibreOffice/7.3.5.2$Windows_X86_64 LibreOffice_project/184fe81b8c8c30d8b5082578aee2fed2ea847c01</Application>
  <AppVersion>15.0000</AppVersion>
  <Pages>5</Pages>
  <Words>2317</Words>
  <Characters>11751</Characters>
  <CharactersWithSpaces>13948</CharactersWithSpaces>
  <Paragraphs>200</Paragraphs>
  <Company>ECI</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2023-07-17T19:38:00Z</dcterms:created>
  <dc:creator>V2784160</dc:creator>
  <dc:description/>
  <dc:language>es-MX</dc:language>
  <cp:lastModifiedBy/>
  <dcterms:modified xsi:type="dcterms:W3CDTF">2024-08-28T17:06:42Z</dcterms:modified>
  <cp:revision>65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1ca2adfb97531d73a172c220f9bfa91da40b8d9a65ff10cdbff04d82713cbc91</vt:lpwstr>
  </property>
</Properties>
</file>