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rPr/>
      </w:r>
    </w:p>
    <w:p>
      <w:pPr>
        <w:pStyle w:val="Normal"/>
        <w:spacing w:lineRule="auto" w:line="240" w:before="0" w:after="0"/>
        <w:jc w:val="right"/>
        <w:rPr>
          <w:rFonts w:ascii="Arial" w:hAnsi="Arial" w:eastAsia="Times New Roman" w:cs="Arial"/>
          <w:b/>
          <w:b/>
          <w:color w:val="E36C0A" w:themeColor="accent6" w:themeShade="bf"/>
          <w:sz w:val="18"/>
          <w:szCs w:val="18"/>
          <w:u w:val="single"/>
          <w:lang w:eastAsia="es-ES"/>
        </w:rPr>
      </w:pPr>
      <w:r>
        <w:drawing>
          <wp:anchor behindDoc="0" distT="0" distB="0" distL="114300" distR="114300" simplePos="0" locked="0" layoutInCell="0" allowOverlap="1" relativeHeight="16">
            <wp:simplePos x="0" y="0"/>
            <wp:positionH relativeFrom="margin">
              <wp:posOffset>45720</wp:posOffset>
            </wp:positionH>
            <wp:positionV relativeFrom="margin">
              <wp:posOffset>1295400</wp:posOffset>
            </wp:positionV>
            <wp:extent cx="6142990" cy="1051560"/>
            <wp:effectExtent l="0" t="0" r="0" b="0"/>
            <wp:wrapSquare wrapText="bothSides"/>
            <wp:docPr id="1" name="Imagen 1" descr="Imagen que contiene exterior, agua, árbol, rí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xterior, agua, árbol, río&#10;&#10;Descripción generada automáticamente"/>
                    <pic:cNvPicPr>
                      <a:picLocks noChangeAspect="1" noChangeArrowheads="1"/>
                    </pic:cNvPicPr>
                  </pic:nvPicPr>
                  <pic:blipFill>
                    <a:blip r:embed="rId2"/>
                    <a:srcRect l="742" t="6080" r="-496" b="745"/>
                    <a:stretch>
                      <a:fillRect/>
                    </a:stretch>
                  </pic:blipFill>
                  <pic:spPr bwMode="auto">
                    <a:xfrm>
                      <a:off x="0" y="0"/>
                      <a:ext cx="6142990" cy="1051560"/>
                    </a:xfrm>
                    <a:prstGeom prst="rect">
                      <a:avLst/>
                    </a:prstGeom>
                  </pic:spPr>
                </pic:pic>
              </a:graphicData>
            </a:graphic>
          </wp:anchor>
        </w:drawing>
      </w:r>
      <w:r>
        <w:rPr>
          <w:rFonts w:eastAsia="Times New Roman" w:cs="Arial" w:ascii="Arial" w:hAnsi="Arial"/>
          <w:b/>
          <w:color w:val="EF782D"/>
          <w:sz w:val="40"/>
          <w:szCs w:val="40"/>
          <w:lang w:eastAsia="es-ES"/>
        </w:rPr>
        <w:t xml:space="preserve">JAPÓN FASCINANTE </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pPr w:vertAnchor="text" w:horzAnchor="margin" w:tblpXSpec="right" w:leftFromText="141" w:rightFromText="141" w:tblpY="-49"/>
        <w:tblW w:w="9678" w:type="dxa"/>
        <w:jc w:val="right"/>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p>
            <w:pPr>
              <w:pStyle w:val="Normal"/>
              <w:widowControl w:val="false"/>
              <w:suppressAutoHyphens w:val="true"/>
              <w:spacing w:lineRule="auto" w:line="240" w:before="0" w:after="0"/>
              <w:ind w:left="1410" w:hanging="1410"/>
              <w:jc w:val="left"/>
              <w:rPr>
                <w:rFonts w:ascii="Arial" w:hAnsi="Arial" w:eastAsia="Arial" w:cs="Arial"/>
                <w:b w:val="false"/>
                <w:b w:val="false"/>
                <w:bCs w:val="false"/>
                <w:sz w:val="18"/>
                <w:szCs w:val="18"/>
              </w:rPr>
            </w:pPr>
            <w:r>
              <w:rPr>
                <w:rFonts w:eastAsia="Times New Roman" w:cs="Arial" w:ascii="Arial" w:hAnsi="Arial"/>
                <w:b/>
                <w:bCs/>
                <w:color w:val="EF782D"/>
                <w:kern w:val="0"/>
                <w:sz w:val="18"/>
                <w:szCs w:val="18"/>
                <w:lang w:eastAsia="es-ES" w:bidi="ar-SA"/>
              </w:rPr>
              <w:t>Visitando</w:t>
            </w:r>
            <w:r>
              <w:rPr>
                <w:rFonts w:eastAsia="Times New Roman" w:cs="Arial" w:ascii="Arial" w:hAnsi="Arial"/>
                <w:b/>
                <w:bCs/>
                <w:color w:val="E36C0A" w:themeColor="accent6" w:themeShade="bf"/>
                <w:kern w:val="0"/>
                <w:sz w:val="18"/>
                <w:szCs w:val="18"/>
                <w:lang w:eastAsia="es-ES" w:bidi="ar-SA"/>
              </w:rPr>
              <w:t>:</w:t>
            </w:r>
            <w:r>
              <w:rPr>
                <w:rFonts w:eastAsia="Times New Roman" w:cs="Arial" w:ascii="Arial" w:hAnsi="Arial"/>
                <w:b/>
                <w:bCs/>
                <w:color w:val="000000"/>
                <w:kern w:val="0"/>
                <w:sz w:val="18"/>
                <w:szCs w:val="18"/>
                <w:lang w:eastAsia="es-ES" w:bidi="ar-SA"/>
              </w:rPr>
              <w:tab/>
            </w:r>
            <w:r>
              <w:rPr>
                <w:rFonts w:eastAsia="Arial" w:cs="Arial" w:ascii="Arial" w:hAnsi="Arial"/>
                <w:b/>
                <w:bCs/>
                <w:kern w:val="0"/>
                <w:sz w:val="18"/>
                <w:szCs w:val="18"/>
                <w:lang w:eastAsia="en-US" w:bidi="ar-SA"/>
              </w:rPr>
              <w:t xml:space="preserve">Tokio – Kioto </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val="es-MX" w:eastAsia="es-ES"/>
              </w:rPr>
            </w:pPr>
            <w:r>
              <w:rPr>
                <w:rFonts w:eastAsia="Times New Roman" w:cs="Arial" w:ascii="Arial" w:hAnsi="Arial"/>
                <w:b/>
                <w:bCs/>
                <w:color w:val="E36C0A" w:themeColor="accent6" w:themeShade="bf"/>
                <w:kern w:val="0"/>
                <w:sz w:val="18"/>
                <w:szCs w:val="18"/>
                <w:lang w:val="es-MX" w:eastAsia="es-ES" w:bidi="ar-SA"/>
              </w:rPr>
              <w:t>Salidas:</w:t>
            </w:r>
            <w:r>
              <w:rPr>
                <w:rFonts w:eastAsia="Times New Roman" w:cs="Arial" w:ascii="Arial" w:hAnsi="Arial"/>
                <w:b/>
                <w:bCs/>
                <w:color w:val="000000"/>
                <w:kern w:val="0"/>
                <w:sz w:val="18"/>
                <w:szCs w:val="18"/>
                <w:lang w:val="es-MX" w:eastAsia="es-ES" w:bidi="ar-SA"/>
              </w:rPr>
              <w:tab/>
              <w:t xml:space="preserve">Martes. Específicas hasta 31 de marzo de 2026 </w:t>
            </w:r>
          </w:p>
          <w:p>
            <w:pPr>
              <w:pStyle w:val="Normal"/>
              <w:widowControl w:val="false"/>
              <w:suppressAutoHyphens w:val="true"/>
              <w:spacing w:lineRule="auto" w:line="240" w:before="0" w:after="0"/>
              <w:ind w:left="1410" w:hanging="1410"/>
              <w:jc w:val="left"/>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 xml:space="preserve">07 días / 06 noches (opera mínimo con 1 personas) </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color w:val="000000"/>
                <w:kern w:val="0"/>
                <w:sz w:val="18"/>
                <w:szCs w:val="18"/>
                <w:lang w:val="es-MX" w:eastAsia="es-ES" w:bidi="ar-SA"/>
              </w:rPr>
              <w:t>Desayunos diarios y 2 almuerzos</w:t>
            </w:r>
          </w:p>
        </w:tc>
      </w:tr>
    </w:tbl>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000000"/>
          <w:sz w:val="14"/>
          <w:szCs w:val="14"/>
        </w:rPr>
      </w:pPr>
      <w:r>
        <w:rPr>
          <w:rFonts w:eastAsia="Arial" w:cs="Arial" w:ascii="Arial" w:hAnsi="Arial"/>
          <w:color w:val="000000"/>
          <w:sz w:val="14"/>
          <w:szCs w:val="14"/>
        </w:rPr>
      </w:r>
    </w:p>
    <w:p>
      <w:pPr>
        <w:pStyle w:val="Normal"/>
        <w:spacing w:before="0" w:after="0"/>
        <w:jc w:val="both"/>
        <w:rPr>
          <w:rFonts w:ascii="Arial" w:hAnsi="Arial" w:eastAsia="Arial" w:cs="Arial"/>
          <w:b/>
          <w:b/>
          <w:color w:val="000000" w:themeColor="text1"/>
          <w:sz w:val="18"/>
          <w:szCs w:val="18"/>
        </w:rPr>
      </w:pPr>
      <w:bookmarkStart w:id="0" w:name="_heading=h.gjdgxs"/>
      <w:bookmarkEnd w:id="0"/>
      <w:r>
        <w:rPr>
          <w:rFonts w:eastAsia="Arial" w:cs="Arial" w:ascii="Arial" w:hAnsi="Arial"/>
          <w:b/>
          <w:color w:val="EF782D"/>
          <w:sz w:val="18"/>
          <w:szCs w:val="18"/>
        </w:rPr>
        <w:t xml:space="preserve">Día 1   Tokio   </w:t>
      </w:r>
    </w:p>
    <w:p>
      <w:pPr>
        <w:pStyle w:val="Normal"/>
        <w:spacing w:before="0" w:after="0"/>
        <w:jc w:val="both"/>
        <w:rPr>
          <w:rStyle w:val="Normaltextrun"/>
          <w:rFonts w:ascii="Arial" w:hAnsi="Arial" w:cs="Arial"/>
          <w:color w:val="000000" w:themeColor="text1"/>
          <w:sz w:val="18"/>
          <w:szCs w:val="18"/>
        </w:rPr>
      </w:pPr>
      <w:r>
        <w:rPr>
          <w:rFonts w:cs="Arial" w:ascii="Arial" w:hAnsi="Arial"/>
          <w:color w:val="000000" w:themeColor="text1"/>
          <w:sz w:val="18"/>
          <w:szCs w:val="18"/>
        </w:rPr>
        <w:t>Llegada al Aeropuerto Internacional de Narita: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Narita (NRT):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*En caso de que no opere Airport Limousine Bus, proveemos un traslado alternativo (tren + taxi, etc.)</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Consultar operación y suplementos en caso de que el aeropuerto de llegada sea Haneada</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2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08:20 </w:t>
      </w:r>
      <w:r>
        <w:rPr>
          <w:color w:val="000000" w:themeColor="text1"/>
        </w:rPr>
        <w:t xml:space="preserve">en </w:t>
      </w:r>
      <w:r>
        <w:rPr>
          <w:rFonts w:cs="Arial" w:ascii="Arial" w:hAnsi="Arial"/>
          <w:color w:val="000000" w:themeColor="text1"/>
          <w:sz w:val="18"/>
          <w:szCs w:val="18"/>
        </w:rPr>
        <w:t xml:space="preserve">el lobby de la Planta Baja / Piso 1 de la torre principal The Main para realizar la visita en grupo de Tokio de media jornada con un guía de habla española, donde conoceremos el Santuario Meiji, dedicado al ex-emperador Mutsuhit, la Plaza del Palacio Imperial (No entrarán en el recinto del palacio), el Templo Senso-ji &amp; Calle Nakamise con hileras de tiendas de recuerdos. El tour termina en Ginza aproximadamente a las 13:00 y se les dará la tarde libre.  (El guía les explicará a los pasajeros cómo volver al hotel.)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ACTIVIDADES OPCIONALES PARA DÍA 2 </w:t>
      </w:r>
    </w:p>
    <w:tbl>
      <w:tblPr>
        <w:tblStyle w:val="Tablaconcuadrcula"/>
        <w:tblW w:w="973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13"/>
        <w:gridCol w:w="6622"/>
      </w:tblGrid>
      <w:tr>
        <w:trPr/>
        <w:tc>
          <w:tcPr>
            <w:tcW w:w="3113" w:type="dxa"/>
            <w:tcBorders/>
          </w:tcPr>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Aplica para salidas: 07/ene/25; 18/feb/25; 04/mar/25; 18/mar/25:</w:t>
            </w:r>
          </w:p>
        </w:tc>
        <w:tc>
          <w:tcPr>
            <w:tcW w:w="6622" w:type="dxa"/>
            <w:tcBorders/>
          </w:tcPr>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b/>
                <w:color w:val="000000" w:themeColor="text1"/>
                <w:kern w:val="0"/>
                <w:sz w:val="18"/>
                <w:szCs w:val="18"/>
                <w:lang w:eastAsia="en-US" w:bidi="ar-SA"/>
              </w:rPr>
              <w:t>VISITA OPCIONAL DE TOKIO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Visitaremos en transporte público y a pie la Odaiba (paseo en barco NO está incluido), el Cruce Scramble en Shibuya, la Torre del Gobierno Metropolitano de Tokio (mirador a 202 metros).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Regreso al hotel aproximadamente a las 20:30.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*Almuerzo NO está incluido.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u w:val="single"/>
                <w:lang w:eastAsia="en-US" w:bidi="ar-SA"/>
              </w:rPr>
              <w:t>IMPORTANTE</w:t>
            </w:r>
            <w:r>
              <w:rPr>
                <w:rFonts w:eastAsia="" w:cs="Arial" w:ascii="Arial" w:hAnsi="Arial"/>
                <w:color w:val="000000" w:themeColor="text1"/>
                <w:kern w:val="0"/>
                <w:sz w:val="18"/>
                <w:szCs w:val="18"/>
                <w:lang w:eastAsia="en-US" w:bidi="ar-SA"/>
              </w:rPr>
              <w:t xml:space="preserv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Número mínimo de participantes requerido para operación: 5 pasajeros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La visita opcional puede ser cancelada en caso de lluvia o cuando un guía no esté disponible.</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Ésta visita solo se venderá en destino</w:t>
            </w:r>
          </w:p>
        </w:tc>
      </w:tr>
      <w:tr>
        <w:trPr/>
        <w:tc>
          <w:tcPr>
            <w:tcW w:w="3113" w:type="dxa"/>
            <w:tcBorders/>
          </w:tcPr>
          <w:p>
            <w:pPr>
              <w:pStyle w:val="Normal"/>
              <w:widowControl/>
              <w:suppressAutoHyphens w:val="true"/>
              <w:spacing w:before="0" w:after="0"/>
              <w:jc w:val="both"/>
              <w:rPr>
                <w:rFonts w:ascii="Arial" w:hAnsi="Arial" w:cs="Arial"/>
                <w:color w:val="000000" w:themeColor="text1"/>
                <w:sz w:val="18"/>
                <w:szCs w:val="18"/>
              </w:rPr>
            </w:pPr>
            <w:bookmarkStart w:id="1" w:name="_Hlk183590544"/>
            <w:r>
              <w:rPr>
                <w:rFonts w:eastAsia="" w:cs="Arial" w:ascii="Arial" w:hAnsi="Arial"/>
                <w:color w:val="000000" w:themeColor="text1"/>
                <w:kern w:val="0"/>
                <w:sz w:val="18"/>
                <w:szCs w:val="18"/>
                <w:lang w:eastAsia="en-US" w:bidi="ar-SA"/>
              </w:rPr>
              <w:t>Aplica para salidas del 01/Abril/25 en adelante</w:t>
            </w:r>
            <w:bookmarkEnd w:id="1"/>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Excepto:</w:t>
            </w:r>
          </w:p>
          <w:p>
            <w:pPr>
              <w:pStyle w:val="Normal"/>
              <w:widowControl/>
              <w:suppressAutoHyphens w:val="true"/>
              <w:spacing w:before="0" w:after="0"/>
              <w:jc w:val="both"/>
              <w:rPr>
                <w:rFonts w:ascii="Arial" w:hAnsi="Arial" w:cs="Arial"/>
                <w:b/>
                <w:b/>
                <w:bCs/>
                <w:color w:val="000000" w:themeColor="text1"/>
                <w:sz w:val="18"/>
                <w:szCs w:val="18"/>
              </w:rPr>
            </w:pPr>
            <w:r>
              <w:rPr>
                <w:rFonts w:eastAsia="" w:cs="Arial" w:ascii="Arial" w:hAnsi="Arial"/>
                <w:color w:val="000000" w:themeColor="text1"/>
                <w:kern w:val="0"/>
                <w:sz w:val="18"/>
                <w:szCs w:val="18"/>
                <w:lang w:eastAsia="en-US" w:bidi="ar-SA"/>
              </w:rPr>
              <w:t>En las salidas del 1 de agosto y desde el 18 de noviembre hasta el 24 de febrero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tc>
        <w:tc>
          <w:tcPr>
            <w:tcW w:w="6622" w:type="dxa"/>
            <w:tcBorders/>
          </w:tcPr>
          <w:p>
            <w:pPr>
              <w:pStyle w:val="Normal"/>
              <w:widowControl/>
              <w:suppressAutoHyphens w:val="true"/>
              <w:spacing w:before="0" w:after="0"/>
              <w:jc w:val="both"/>
              <w:rPr>
                <w:rFonts w:ascii="Arial" w:hAnsi="Arial" w:cs="Arial"/>
                <w:b/>
                <w:b/>
                <w:bCs/>
                <w:color w:val="000000" w:themeColor="text1"/>
                <w:sz w:val="18"/>
                <w:szCs w:val="18"/>
              </w:rPr>
            </w:pPr>
            <w:r>
              <w:rPr>
                <w:rFonts w:eastAsia="" w:cs="Arial" w:ascii="Arial" w:hAnsi="Arial"/>
                <w:b/>
                <w:bCs/>
                <w:color w:val="000000" w:themeColor="text1"/>
                <w:kern w:val="0"/>
                <w:sz w:val="18"/>
                <w:szCs w:val="18"/>
                <w:lang w:eastAsia="en-US" w:bidi="ar-SA"/>
              </w:rPr>
              <w:t>ACTIVIDAD OPCIONAL “CEREMONIA DEL TÉ”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 las 12:45, después de la visita del Templo Senso-ji y la Calle Nakamise en Asakusa, encuentro con un asistente de habla hispana. (El guía indicará el punto de encuentro durante la visita del Templo Senso-ji.)</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Traslado al local de la ceremonia del té a pie con el asistente.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13:00 Inicio de la ceremonia del té donde se dará una explicación y demostración sobre la ceremonia del té, así como la degustación de dulce y el té matcha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La actividad termina en la estación de metro de Asakusa a las 14:00</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(El asistente les explicará a los pasajeros cómo volver al hotel o ir a Ginza en metro pero no los escoltará.)</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NOTAS IMPORTANTES: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*Almuerzo NO está incluido. Si tienen hambre, tienen que comer algo ligero durante el tiempo libre en la Calle Nakamise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Los participantes en esta actividad opcional no irán a Ginza con el grupo en autobús.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Necesitan llevar calcetines para participar en la ceremonia del té.</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La actividad no está a la venta en destino, es necesario reservarla 3 semanas antes de viajar a Japón (Sujeta a disponibilidad) </w:t>
            </w:r>
          </w:p>
        </w:tc>
      </w:tr>
    </w:tbl>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3   Tokio – Hakone –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07:50 nos reuniremos en el lobby para tomar la excursión a Hakone de jornada completa con un guía de habla española (en grupo); conoceremos, Lago Ashi (paseo en barco), Valle Owakudani (cuando el cielo está despejado, se puede apreciar el Mt. Fuji tanto desde el Lago Ashi como desde el Valle Owakudani), Museo al Aire Libre de Hakone.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17:00~18:00 Después de la visita, regreso al hotel.</w:t>
      </w:r>
    </w:p>
    <w:p>
      <w:pPr>
        <w:pStyle w:val="Normal"/>
        <w:spacing w:before="0" w:after="0"/>
        <w:jc w:val="both"/>
        <w:rPr>
          <w:rFonts w:ascii="Arial" w:hAnsi="Arial" w:cs="Arial"/>
          <w:b/>
          <w:b/>
          <w:color w:val="FF0000"/>
          <w:sz w:val="18"/>
          <w:szCs w:val="18"/>
        </w:rPr>
      </w:pPr>
      <w:r>
        <w:rPr>
          <w:rFonts w:cs="Arial" w:ascii="Arial" w:hAnsi="Arial"/>
          <w:b/>
          <w:color w:val="FF0000"/>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4   Tokio – Kioto - Nara – Kioto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08:00 nos reuniremos en el lobby, para tomar el traslado a la Estación de Tokio con un asistente de habla española, se planea llegar a la estación de Tokio para partir con destino a Kioto en tren bala Nozomi #215 a las 09:21</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Importante</w:t>
      </w:r>
      <w:r>
        <w:rPr>
          <w:rFonts w:cs="Arial" w:ascii="Arial" w:hAnsi="Arial"/>
          <w:color w:val="000000" w:themeColor="text1"/>
          <w:sz w:val="18"/>
          <w:szCs w:val="18"/>
        </w:rPr>
        <w:t xml:space="preserve">: Una maleta por persona será enviada aparte en camión desde el hotel en Tokio hasta el hotel en Kioto.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Se estima que la llegada a la Estación de Kioto sea aproximadamente a las 11:32, donde un guía de habla española los recibirá. Comienzo de la excursión a Nara (en grupo).</w:t>
      </w:r>
      <w:r>
        <w:rPr>
          <w:color w:val="000000" w:themeColor="text1"/>
        </w:rPr>
        <w:t xml:space="preserve"> </w:t>
      </w:r>
      <w:r>
        <w:rPr>
          <w:rFonts w:cs="Arial" w:ascii="Arial" w:hAnsi="Arial"/>
          <w:color w:val="000000" w:themeColor="text1"/>
          <w:sz w:val="18"/>
          <w:szCs w:val="18"/>
        </w:rPr>
        <w:t>Atención: El horario de tren está sujeto a cambio.</w:t>
        <w:br/>
        <w:t xml:space="preserve">En Nara conoceremos, templo Todai-ji (estatua de Buda colosal), parque de Nara (con muchos venados) en Kioto, visitaremos, santuario Fushimi Inari (con miles de pórticos “torii”) 18:30~19:00 Llegada al hotel en Kioto y check in. *Almuerzo NO está incluido, sin embargo, se tendrá tiempo libre para almorzar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NOTA: Puede haber cambio en el orden en que visitamos los sitios en Kioto. Es posible que ese día visitemos uno de los sitios mencionados en el itinerario del día siguiente. En tal caso visitaremos Gion al día siguiente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w:t>
      </w:r>
    </w:p>
    <w:p>
      <w:pPr>
        <w:pStyle w:val="Normal"/>
        <w:spacing w:before="0" w:after="0"/>
        <w:jc w:val="both"/>
        <w:rPr>
          <w:rFonts w:ascii="Arial" w:hAnsi="Arial" w:cs="Arial"/>
          <w:i/>
          <w:i/>
          <w:color w:val="000000" w:themeColor="text1"/>
          <w:sz w:val="18"/>
          <w:szCs w:val="18"/>
        </w:rPr>
      </w:pPr>
      <w:r>
        <w:rPr>
          <w:rFonts w:cs="Arial" w:ascii="Arial" w:hAnsi="Arial"/>
          <w:i/>
          <w:color w:val="000000" w:themeColor="text1"/>
          <w:sz w:val="18"/>
          <w:szCs w:val="18"/>
        </w:rPr>
        <w:t>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5  Kioto  </w:t>
      </w:r>
    </w:p>
    <w:p>
      <w:pPr>
        <w:pStyle w:val="Normal"/>
        <w:spacing w:before="0" w:after="0"/>
        <w:jc w:val="both"/>
        <w:rPr>
          <w:rFonts w:ascii="Arial" w:hAnsi="Arial" w:cs="Arial"/>
          <w:color w:val="000000" w:themeColor="text1"/>
          <w:sz w:val="18"/>
          <w:szCs w:val="18"/>
        </w:rPr>
      </w:pPr>
      <w:r>
        <w:rPr>
          <w:rStyle w:val="Normaltextrun"/>
          <w:rFonts w:eastAsia="Times New Roman" w:cs="Arial" w:ascii="Arial" w:hAnsi="Arial"/>
          <w:b/>
          <w:bCs/>
          <w:i/>
          <w:iCs/>
          <w:color w:val="000000" w:themeColor="text1"/>
          <w:sz w:val="18"/>
          <w:szCs w:val="18"/>
          <w:u w:val="single"/>
          <w:lang w:val="es-MX" w:eastAsia="es-MX"/>
        </w:rPr>
        <w:t>Desayuno</w:t>
      </w:r>
      <w:r>
        <w:rPr>
          <w:rStyle w:val="Normaltextrun"/>
          <w:rFonts w:eastAsia="Times New Roman"/>
          <w:b/>
          <w:bCs/>
          <w:i/>
          <w:iCs/>
          <w:color w:val="000000" w:themeColor="text1"/>
          <w:u w:val="single"/>
          <w:lang w:val="es-MX" w:eastAsia="es-MX"/>
        </w:rPr>
        <w:t xml:space="preserve"> </w:t>
      </w:r>
      <w:r>
        <w:rPr>
          <w:rFonts w:cs="Arial" w:ascii="Arial" w:hAnsi="Arial"/>
          <w:color w:val="000000" w:themeColor="text1"/>
          <w:sz w:val="18"/>
          <w:szCs w:val="18"/>
        </w:rPr>
        <w:t>en el hotel para posteriormente, a las 08:20 reunirnos en el lobby y partir hacia la visita de Kioto de jornada completa con un guía de habla española (en grupo), donde conoceremos el Templo Sanjusangendo (con mil estatuas de Kannon, dios de misericordia), el Santuario Fushimi Inari (con miles de pórticos “torii”), el Templo dorado Kinkaku-ji, el Tempo Tenryu-ji, con un bello jardín japonés y el Bosque de Bambú de Sagano en Arashiyama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Regreso al hotel aproximadamente a las 17:00 – 17:30. Almuerzo en un restaurante está incluido ese día.</w:t>
      </w:r>
    </w:p>
    <w:p>
      <w:pPr>
        <w:pStyle w:val="Normal"/>
        <w:spacing w:before="0" w:after="0"/>
        <w:jc w:val="both"/>
        <w:rPr>
          <w:rFonts w:ascii="Arial" w:hAnsi="Arial" w:eastAsia="Arial" w:cs="Arial"/>
          <w:b/>
          <w:b/>
          <w:color w:val="000000" w:themeColor="text1"/>
          <w:sz w:val="18"/>
          <w:szCs w:val="18"/>
        </w:rPr>
      </w:pPr>
      <w:r>
        <w:rPr>
          <w:rFonts w:eastAsia="Arial" w:cs="Arial" w:ascii="Arial" w:hAnsi="Arial"/>
          <w:b/>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6   Kioto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Style w:val="Normaltextrun"/>
          <w:rFonts w:cs="Arial" w:ascii="Arial" w:hAnsi="Arial"/>
          <w:b/>
          <w:bCs/>
          <w:i/>
          <w:iCs/>
          <w:color w:val="000000" w:themeColor="text1"/>
          <w:sz w:val="18"/>
          <w:szCs w:val="18"/>
          <w:u w:val="single"/>
        </w:rPr>
        <w:t>Desayuno</w:t>
      </w:r>
      <w:r>
        <w:rPr>
          <w:rStyle w:val="Normaltextrun"/>
          <w:rFonts w:cs="Arial" w:ascii="Arial" w:hAnsi="Arial"/>
          <w:color w:val="000000" w:themeColor="text1"/>
          <w:sz w:val="18"/>
          <w:szCs w:val="18"/>
        </w:rPr>
        <w:t xml:space="preserve"> </w:t>
      </w:r>
      <w:r>
        <w:rPr>
          <w:rFonts w:eastAsia="Calibri" w:cs="Arial" w:ascii="Arial" w:hAnsi="Arial" w:eastAsiaTheme="minorHAnsi"/>
          <w:color w:val="000000" w:themeColor="text1"/>
          <w:sz w:val="18"/>
          <w:szCs w:val="18"/>
          <w:lang w:val="es-ES" w:eastAsia="en-US"/>
        </w:rPr>
        <w:t>en el hotel. Todo el día libre para actividades personales.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eastAsiaTheme="minorHAnsi" w:ascii="Arial" w:hAnsi="Arial"/>
          <w:color w:val="000000" w:themeColor="text1"/>
          <w:sz w:val="18"/>
          <w:szCs w:val="18"/>
          <w:lang w:val="es-ES" w:eastAsia="en-US"/>
        </w:rPr>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b/>
          <w:color w:val="000000" w:themeColor="text1"/>
          <w:sz w:val="18"/>
          <w:szCs w:val="18"/>
          <w:lang w:val="es-ES" w:eastAsia="en-US"/>
        </w:rPr>
        <w:t>Tour opcional a Hiroshima &amp; Miyajima</w:t>
      </w:r>
      <w:r>
        <w:rPr>
          <w:rFonts w:eastAsia="Calibri" w:cs="Arial" w:ascii="Arial" w:hAnsi="Arial" w:eastAsiaTheme="minorHAnsi"/>
          <w:color w:val="000000" w:themeColor="text1"/>
          <w:sz w:val="18"/>
          <w:szCs w:val="18"/>
          <w:lang w:val="es-ES" w:eastAsia="en-US"/>
        </w:rPr>
        <w:t>:  A las 07:30 nos reuniremos en el lobby del hotel. Traslado a la Estación de Kioto. La visita se realizará con un guía de habla española. A las 08:26 saldremos de Kioto en tren bala Nozomi #3. 10:01</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hacia Hiroshima y comenzar la visita. Si hay menos de 10 pasajeros, realizamos la visita en transporte público. Si hay 10 o más pasajeros, realizamos el tour opcional en bus privado. Conoceremos el santuario Itsukushima en la Isla Miyajima, Parque y Museo de la Paz de Hiroshima, cúpula de la Bomba Atómica.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eastAsiaTheme="minorHAnsi" w:ascii="Arial" w:hAnsi="Arial"/>
          <w:color w:val="000000" w:themeColor="text1"/>
          <w:sz w:val="18"/>
          <w:szCs w:val="18"/>
          <w:lang w:val="es-ES" w:eastAsia="en-US"/>
        </w:rPr>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Traslado a la Estación de Hiroshima, para salir a las 17:57 rumbo Kioto en tren bala Nozomi #52</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 xml:space="preserve">El tour termina al llegar a la Estación de Kioto a las 19:37. De la estación al hotel, (traslado por cuenta de los pasajeros).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*Almuerzo NO está incluido.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Atención: Los horarios de tren están sujetos a cambio.</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eastAsiaTheme="minorHAnsi" w:ascii="Arial" w:hAnsi="Arial"/>
          <w:color w:val="000000" w:themeColor="text1"/>
          <w:sz w:val="18"/>
          <w:szCs w:val="18"/>
          <w:lang w:val="es-ES" w:eastAsia="en-US"/>
        </w:rPr>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 xml:space="preserve">IMPORTANTE: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Los pasajeros necesitan reservar el tour 3 semanas antes de viajar a Japón. Sujeto a disponibilidad.</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La excursión opcional a Hiroshima no está disponible en las salidas del 1 de agosto (salida #24) y del 23 de diciembre (salida #46).</w:t>
      </w:r>
    </w:p>
    <w:p>
      <w:pPr>
        <w:pStyle w:val="Normal"/>
        <w:spacing w:before="0" w:after="0"/>
        <w:jc w:val="both"/>
        <w:rPr>
          <w:rFonts w:ascii="Arial" w:hAnsi="Arial" w:eastAsia="Arial" w:cs="Arial"/>
          <w:b/>
          <w:b/>
          <w:color w:val="000000" w:themeColor="text1"/>
          <w:sz w:val="18"/>
          <w:szCs w:val="18"/>
        </w:rPr>
      </w:pPr>
      <w:r>
        <w:rPr>
          <w:rFonts w:eastAsia="Arial" w:cs="Arial" w:ascii="Arial" w:hAnsi="Arial"/>
          <w:b/>
          <w:color w:val="000000" w:themeColor="text1"/>
          <w:sz w:val="18"/>
          <w:szCs w:val="18"/>
        </w:rPr>
      </w:r>
    </w:p>
    <w:p>
      <w:pPr>
        <w:pStyle w:val="Normal"/>
        <w:spacing w:before="0" w:after="0"/>
        <w:jc w:val="both"/>
        <w:rPr>
          <w:rStyle w:val="Normaltextrun"/>
        </w:rPr>
      </w:pPr>
      <w:r>
        <w:rPr>
          <w:rFonts w:eastAsia="Arial" w:cs="Arial" w:ascii="Arial" w:hAnsi="Arial"/>
          <w:b/>
          <w:color w:val="EF782D"/>
          <w:sz w:val="18"/>
          <w:szCs w:val="18"/>
        </w:rPr>
        <w:t>Día 7   Kioto – Salida de Japón (Kansai o Itami)</w:t>
      </w:r>
      <w:r>
        <w:rPr/>
        <w:t xml:space="preserve"> </w:t>
      </w:r>
    </w:p>
    <w:p>
      <w:pPr>
        <w:pStyle w:val="Normal"/>
        <w:spacing w:before="0" w:after="0"/>
        <w:jc w:val="both"/>
        <w:rPr>
          <w:rFonts w:ascii="Arial" w:hAnsi="Arial" w:cs="Arial"/>
          <w:b/>
          <w:b/>
          <w:bCs/>
          <w:color w:val="000000" w:themeColor="text1"/>
          <w:sz w:val="18"/>
          <w:szCs w:val="18"/>
        </w:rPr>
      </w:pPr>
      <w:r>
        <w:rPr>
          <w:rFonts w:cs="Arial" w:ascii="Arial" w:hAnsi="Arial"/>
          <w:b/>
          <w:bCs/>
          <w:color w:val="000000" w:themeColor="text1"/>
          <w:sz w:val="18"/>
          <w:szCs w:val="18"/>
        </w:rPr>
        <w:t>Aplica para salidas: 07/ene/25; 18/feb/25; 04/mar/25; 18/mar/25:</w:t>
      </w:r>
    </w:p>
    <w:p>
      <w:pPr>
        <w:pStyle w:val="Normal"/>
        <w:spacing w:before="0" w:after="0"/>
        <w:jc w:val="both"/>
        <w:rPr>
          <w:rFonts w:ascii="Arial" w:hAnsi="Arial" w:cs="Arial"/>
          <w:color w:val="000000" w:themeColor="text1"/>
          <w:sz w:val="18"/>
          <w:szCs w:val="18"/>
        </w:rPr>
      </w:pPr>
      <w:r>
        <w:rPr>
          <w:rStyle w:val="Normaltextrun"/>
          <w:rFonts w:eastAsia="Times New Roman"/>
          <w:b/>
          <w:bCs/>
          <w:i/>
          <w:iCs/>
          <w:color w:val="000000" w:themeColor="text1"/>
          <w:u w:val="single"/>
          <w:lang w:val="es-MX" w:eastAsia="es-MX"/>
        </w:rPr>
        <w:t>Desayuno</w:t>
      </w:r>
      <w:r>
        <w:rPr>
          <w:rFonts w:cs="Arial" w:ascii="Arial" w:hAnsi="Arial"/>
          <w:color w:val="000000" w:themeColor="text1"/>
          <w:sz w:val="18"/>
          <w:szCs w:val="18"/>
        </w:rPr>
        <w:t xml:space="preserve"> en el hotel. Encuentro en el lobby con un chófer de MK Skygate Shuttle y traslado al aeropuerto de Kansai (KIX) o Itami (ITM). No hay asistencia en español. Puede que el vehículo pase por unos hoteles y que no vaya directamente al aeropuerto. Sólo se permite una maleta por persona. Si llevan más de una maleta por persona, el chófer les cobrará 1.000 JPY por maleta adicional en destino.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Aparte de una maleta, cada pasajero puede llevar consigo sin ningún suplemento hasta dos piezas pequeñas de equipaje, por ejemplo, mochilas, siempre y cuando la suma de los 3 lados de cada pieza no supere 100 cm.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La hora de recogida será informada a la recepción del hotel en la tarde del día anterior (a eso de las 17:00). Por favor, hablen con un recepcionista para verificar la hora de pick-up. Tendrán que desocupar su habitación antes de la hora de checkout (11:00 a.m.).</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Llegada al aeropuerto y check-in en el mostrador de su compañía aérea por su cuenta.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Cuando MK Skygate Shuttle esté completo o no esté operativo, el traslado será en Airport Limousine Bus que sale desde la parada autobús en frente de la Estación de Kioto, o en tren expreso Haruka, que sale de la Estación de Kioto. En tal caso, un asistente de habla INGLESA acompañará a los pasajeros hasta la parada de autobús o hasta el andén desde donde sale el tren expreso Haruka en el shuttle bus del Hotel Kyoto Tokyu o en taxi. El asistente no acompañará hasta el aeropuerto.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El MK Skygate Shuttle no puede llegar al Aeropuerto de Kansai (KIX) o Itami (ITM) antes de las 06:00 a.m. Por lo tanto, si la hora de salida del vuelo es antes de las 08:00 a.m. se aplicará un suplemento por pasajero (Consultar), ya que reservaremos un taxi para el traslado. En caso de un pasajero viajando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solo, es necesario consultar suplemento.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b/>
          <w:b/>
          <w:bCs/>
          <w:color w:val="000000" w:themeColor="text1"/>
          <w:sz w:val="18"/>
          <w:szCs w:val="18"/>
        </w:rPr>
      </w:pPr>
      <w:r>
        <w:rPr>
          <w:rFonts w:cs="Arial" w:ascii="Arial" w:hAnsi="Arial"/>
          <w:b/>
          <w:bCs/>
          <w:color w:val="000000" w:themeColor="text1"/>
          <w:sz w:val="18"/>
          <w:szCs w:val="18"/>
        </w:rPr>
        <w:t>Aplica para salidas del 01/Abril/25 en adelante:</w:t>
      </w:r>
    </w:p>
    <w:p>
      <w:pPr>
        <w:pStyle w:val="Normal"/>
        <w:spacing w:before="0" w:after="0"/>
        <w:jc w:val="both"/>
        <w:rPr>
          <w:rFonts w:ascii="Arial" w:hAnsi="Arial" w:cs="Arial"/>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en el hotel, o bien, si la hora de salida del hotel es temprana y los pasajeros no pueden desayunar en el hotel, éste proveerá un box lunch.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Si la hora de salida del vuelo es </w:t>
      </w:r>
      <w:r>
        <w:rPr>
          <w:rFonts w:cs="Arial" w:ascii="Arial" w:hAnsi="Arial"/>
          <w:color w:val="000000" w:themeColor="text1"/>
          <w:sz w:val="18"/>
          <w:szCs w:val="18"/>
          <w:u w:val="single"/>
        </w:rPr>
        <w:t>después</w:t>
      </w:r>
      <w:r>
        <w:rPr>
          <w:rFonts w:cs="Arial" w:ascii="Arial" w:hAnsi="Arial"/>
          <w:color w:val="000000" w:themeColor="text1"/>
          <w:sz w:val="18"/>
          <w:szCs w:val="18"/>
        </w:rPr>
        <w:t xml:space="preserve"> de las 08:00 a.m.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Si la hora de salida del vuelo es a las 08:00 a.m. o </w:t>
      </w:r>
      <w:r>
        <w:rPr>
          <w:rFonts w:cs="Arial" w:ascii="Arial" w:hAnsi="Arial"/>
          <w:color w:val="000000" w:themeColor="text1"/>
          <w:sz w:val="18"/>
          <w:szCs w:val="18"/>
          <w:u w:val="single"/>
        </w:rPr>
        <w:t>antes</w:t>
      </w:r>
      <w:r>
        <w:rPr>
          <w:rFonts w:cs="Arial" w:ascii="Arial" w:hAnsi="Arial"/>
          <w:color w:val="000000" w:themeColor="text1"/>
          <w:sz w:val="18"/>
          <w:szCs w:val="18"/>
        </w:rPr>
        <w:t xml:space="preserve">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Reunión con un taxista en la entrada del hotel. (La hora de recogida será decidida por nosotros según la hora de salida del vuelo e informada a los pasajeros durante el tour por el guía.) Traslado al aeropuerto de Kansai o Itami en taxi sin asistencia.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Llegada al aeropuerto y check-in en el mostrador de su compañía aérea por su cuenta.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Si la hora de salida del vuelo desde el Aeropuerto de Kansai (KIX) o de Itami (ITM) es a las 08:00 a.m. o antes, se aplicará un suplemento por pasajero (Consultar), ya que reservaremos un taxi para el traslado. En caso de un pasajero viajando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solo, es necesario consultar suplemento.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right"/>
        <w:rPr>
          <w:rFonts w:ascii="Arial" w:hAnsi="Arial" w:eastAsia="Times New Roman" w:cs="Arial"/>
          <w:b/>
          <w:b/>
          <w:color w:val="000000" w:themeColor="text1"/>
          <w:sz w:val="18"/>
          <w:szCs w:val="18"/>
          <w:lang w:eastAsia="es-ES"/>
        </w:rPr>
      </w:pPr>
      <w:r>
        <w:rPr>
          <w:rFonts w:eastAsia="Times New Roman" w:cs="Arial" w:ascii="Arial" w:hAnsi="Arial"/>
          <w:b/>
          <w:color w:val="E36C0A" w:themeColor="accent6" w:themeShade="bf"/>
          <w:sz w:val="18"/>
          <w:szCs w:val="18"/>
          <w:lang w:eastAsia="es-ES"/>
        </w:rPr>
        <w:t>Fin de los servicios</w:t>
      </w:r>
      <w:r>
        <w:rPr>
          <w:rFonts w:eastAsia="Times New Roman" w:cs="Arial" w:ascii="Arial" w:hAnsi="Arial"/>
          <w:b/>
          <w:color w:val="000000" w:themeColor="text1"/>
          <w:sz w:val="18"/>
          <w:szCs w:val="18"/>
          <w:lang w:eastAsia="es-ES"/>
        </w:rPr>
        <w:t>.</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49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387"/>
        <w:gridCol w:w="5260"/>
      </w:tblGrid>
      <w:tr>
        <w:trPr>
          <w:trHeight w:val="578" w:hRule="atLeast"/>
          <w:cnfStyle w:val="100000000000" w:firstRow="1" w:lastRow="0" w:firstColumn="0" w:lastColumn="0" w:oddVBand="0" w:evenVBand="0" w:oddHBand="0"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Ciudad</w:t>
            </w:r>
          </w:p>
        </w:tc>
        <w:tc>
          <w:tcPr>
            <w:tcW w:w="526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Primera  </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cs="Arial"/>
                <w:b w:val="false"/>
                <w:b w:val="false"/>
                <w:bCs w:val="false"/>
                <w:color w:val="000000" w:themeColor="text1"/>
                <w:sz w:val="18"/>
                <w:szCs w:val="18"/>
                <w:lang w:val="es-AR"/>
              </w:rPr>
            </w:pPr>
            <w:r>
              <w:rPr>
                <w:rFonts w:eastAsia="Calibri" w:cs="Arial" w:ascii="Arial" w:hAnsi="Arial"/>
                <w:b/>
                <w:bCs/>
                <w:color w:val="000000" w:themeColor="text1"/>
                <w:kern w:val="0"/>
                <w:sz w:val="18"/>
                <w:szCs w:val="18"/>
                <w:lang w:eastAsia="en-US" w:bidi="ar-SA"/>
              </w:rPr>
              <w:t xml:space="preserve">TOKIO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Pr>
                <w:rFonts w:eastAsia="Calibri" w:cs="Arial" w:ascii="Arial" w:hAnsi="Arial"/>
                <w:color w:val="000000" w:themeColor="text1"/>
                <w:kern w:val="0"/>
                <w:sz w:val="18"/>
                <w:szCs w:val="18"/>
                <w:lang w:eastAsia="en-US" w:bidi="ar-SA"/>
              </w:rPr>
              <w:t>Hotel New Otani Tokyo</w:t>
            </w:r>
          </w:p>
        </w:tc>
      </w:tr>
      <w:tr>
        <w:trPr>
          <w:trHeight w:val="415"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eastAsia="en-US" w:bidi="ar-SA"/>
              </w:rPr>
              <w:t>KIOTO</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18"/>
                <w:szCs w:val="18"/>
              </w:rPr>
            </w:pPr>
            <w:r>
              <w:rPr>
                <w:rFonts w:cs="Arial" w:ascii="Arial" w:hAnsi="Arial"/>
                <w:color w:val="000000" w:themeColor="text1"/>
                <w:kern w:val="0"/>
                <w:sz w:val="18"/>
                <w:szCs w:val="18"/>
                <w:lang w:eastAsia="en-US" w:bidi="ar-SA"/>
              </w:rPr>
              <w:t>Kyoto Tokyu Hotel</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Notas importantes: </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lang w:val="es-MX"/>
        </w:rPr>
        <w:t>En la salida del 1/abr/2025, el hotel definitivo de Kioto será decidido e informado por nosotros un mes antes del inicio del tour.</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rPr>
        <w:t>En caso de que no haya disponibilidad en los hoteles mencionados, otros hoteles de la misma categoría podrían ser utilizados.</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rPr>
        <w:t>En Japón, los hoteles disponen de pocas habitaciones dobles (con 1 cama matrimonial). Por regla general, usamos habitaciones twin (con 2 camas separadas). Habitaciones dobles no están garantizadas.</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rPr>
        <w:t>Las habitaciones con una cama matrimonial pueden ser más pequeñas que las twin cuyos tamaños están</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rPr>
        <w:t>mencionados en la tabla de arriba.</w:t>
      </w:r>
    </w:p>
    <w:p>
      <w:pPr>
        <w:pStyle w:val="ListParagraph"/>
        <w:numPr>
          <w:ilvl w:val="0"/>
          <w:numId w:val="3"/>
        </w:numPr>
        <w:spacing w:before="0" w:after="0"/>
        <w:contextualSpacing/>
        <w:rPr>
          <w:rFonts w:ascii="Arial" w:hAnsi="Arial" w:cs="Arial"/>
          <w:color w:val="000000" w:themeColor="text1"/>
          <w:sz w:val="18"/>
          <w:szCs w:val="18"/>
        </w:rPr>
      </w:pPr>
      <w:r>
        <w:rPr>
          <w:rFonts w:cs="Arial" w:ascii="Arial" w:hAnsi="Arial"/>
          <w:color w:val="000000" w:themeColor="text1"/>
          <w:sz w:val="18"/>
          <w:szCs w:val="18"/>
        </w:rPr>
        <w:t>Una habitación triple es con 2 camas regulares + una cama extra de tamaño menor.</w:t>
      </w:r>
    </w:p>
    <w:p>
      <w:pPr>
        <w:pStyle w:val="ListParagraph"/>
        <w:numPr>
          <w:ilvl w:val="0"/>
          <w:numId w:val="3"/>
        </w:numPr>
        <w:spacing w:before="0" w:after="0"/>
        <w:contextualSpacing/>
        <w:rPr>
          <w:rFonts w:ascii="Arial" w:hAnsi="Arial" w:eastAsia="Times New Roman" w:cs="Arial"/>
          <w:b/>
          <w:b/>
          <w:color w:val="000000" w:themeColor="text1"/>
          <w:sz w:val="18"/>
          <w:szCs w:val="18"/>
          <w:u w:val="single"/>
          <w:lang w:val="es-ES_tradnl" w:eastAsia="es-ES"/>
        </w:rPr>
      </w:pPr>
      <w:r>
        <w:rPr>
          <w:rFonts w:cs="Arial" w:ascii="Arial" w:hAnsi="Arial"/>
          <w:color w:val="000000" w:themeColor="text1"/>
          <w:sz w:val="18"/>
          <w:szCs w:val="18"/>
        </w:rPr>
        <w:t>En caso de uso individual, las habitaciones pueden ser más pequeñas que las mencionadas en la tabla.</w:t>
      </w:r>
    </w:p>
    <w:p>
      <w:pPr>
        <w:pStyle w:val="Normal"/>
        <w:spacing w:lineRule="auto" w:line="240" w:before="0" w:after="0"/>
        <w:rPr>
          <w:rFonts w:ascii="Arial" w:hAnsi="Arial" w:eastAsia="Times New Roman" w:cs="Arial"/>
          <w:b/>
          <w:b/>
          <w:color w:val="000000" w:themeColor="text1"/>
          <w:sz w:val="18"/>
          <w:szCs w:val="18"/>
          <w:u w:val="single"/>
          <w:lang w:val="es-ES_tradnl" w:eastAsia="es-ES"/>
        </w:rPr>
      </w:pPr>
      <w:r>
        <w:rPr>
          <w:rFonts w:eastAsia="Times New Roman" w:cs="Arial" w:ascii="Arial" w:hAnsi="Arial"/>
          <w:b/>
          <w:color w:val="000000" w:themeColor="text1"/>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POR NOCHE EN USD </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553"/>
        <w:gridCol w:w="3124"/>
        <w:gridCol w:w="1278"/>
        <w:gridCol w:w="1279"/>
        <w:gridCol w:w="1278"/>
        <w:gridCol w:w="1233"/>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1553"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Categoría</w:t>
            </w:r>
          </w:p>
        </w:tc>
        <w:tc>
          <w:tcPr>
            <w:tcW w:w="3124"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 xml:space="preserve">Salidas: Especificas </w:t>
            </w:r>
          </w:p>
        </w:tc>
        <w:tc>
          <w:tcPr>
            <w:tcW w:w="1278"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Sencilla</w:t>
            </w:r>
          </w:p>
        </w:tc>
        <w:tc>
          <w:tcPr>
            <w:tcW w:w="1279"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b/>
                <w:bCs/>
                <w:color w:val="FFFFFF" w:themeColor="background1"/>
                <w:kern w:val="0"/>
                <w:sz w:val="20"/>
                <w:szCs w:val="20"/>
                <w:lang w:eastAsia="en-US" w:bidi="ar-SA"/>
              </w:rPr>
              <w:t>Doble</w:t>
            </w:r>
          </w:p>
        </w:tc>
        <w:tc>
          <w:tcPr>
            <w:tcW w:w="1278"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b/>
                <w:bCs/>
                <w:color w:val="FFFFFF" w:themeColor="background1"/>
                <w:kern w:val="0"/>
                <w:sz w:val="20"/>
                <w:szCs w:val="20"/>
                <w:lang w:eastAsia="en-US" w:bidi="ar-SA"/>
              </w:rPr>
              <w:t>Triple</w:t>
            </w:r>
          </w:p>
        </w:tc>
        <w:tc>
          <w:tcPr>
            <w:tcW w:w="1233"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b/>
                <w:bCs/>
                <w:color w:val="FFFFFF" w:themeColor="background1"/>
                <w:kern w:val="0"/>
                <w:sz w:val="20"/>
                <w:szCs w:val="20"/>
                <w:lang w:eastAsia="en-US" w:bidi="ar-SA"/>
              </w:rPr>
              <w:t>CHD</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553" w:type="dxa"/>
            <w:vMerge w:val="restart"/>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000000" w:themeColor="text1"/>
                <w:kern w:val="0"/>
                <w:sz w:val="18"/>
                <w:szCs w:val="18"/>
                <w:lang w:val="es-ES_tradnl" w:eastAsia="es-ES" w:bidi="ar-SA"/>
              </w:rPr>
              <w:t>PRIMERA</w:t>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 xml:space="preserve">2025 </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Enero: 07</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Febrero: 18 </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04</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3,127</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2,165</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2,059</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2,112</w:t>
            </w:r>
          </w:p>
        </w:tc>
      </w:tr>
      <w:tr>
        <w:trPr>
          <w:trHeight w:val="737" w:hRule="atLeast"/>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2025</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Febrero: 04</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2,913</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2,059</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1,952</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2,005</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2025</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18</w:t>
            </w:r>
          </w:p>
          <w:p>
            <w:pPr>
              <w:pStyle w:val="Normal"/>
              <w:widowControl/>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22"/>
                <w:szCs w:val="22"/>
                <w:lang w:val="es-ES_tradnl" w:eastAsia="en-US" w:bidi="ar-SA"/>
              </w:rPr>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3,821</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2,593</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2,486</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2,539</w:t>
            </w:r>
          </w:p>
        </w:tc>
      </w:tr>
      <w:tr>
        <w:trPr>
          <w:trHeight w:val="737" w:hRule="atLeast"/>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Junio: 3, 10, 17, 24 </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Diciembre: 9, 16, 23</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2026</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Enero: 13, 27</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000000" w:themeColor="text1"/>
                <w:kern w:val="0"/>
                <w:sz w:val="18"/>
                <w:szCs w:val="18"/>
                <w:lang w:val="es-ES_tradnl" w:eastAsia="es-ES" w:bidi="ar-SA"/>
              </w:rPr>
              <w:t>Febrero: 10, 24</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2,986</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w:t>
            </w:r>
            <w:r>
              <w:rPr>
                <w:rFonts w:eastAsia="Calibri" w:cs="Arial" w:ascii="Arial" w:hAnsi="Arial"/>
                <w:kern w:val="0"/>
                <w:sz w:val="18"/>
                <w:szCs w:val="18"/>
                <w:lang w:eastAsia="en-US" w:bidi="ar-SA"/>
              </w:rPr>
              <w:t>000</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1,911</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1,956</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Mayo: 13, 20, 27</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Julio: 01, 8, 22, 29, </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Agosto: 01, 19, 26</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000000" w:themeColor="text1"/>
                <w:kern w:val="0"/>
                <w:sz w:val="18"/>
                <w:szCs w:val="18"/>
                <w:lang w:val="es-ES_tradnl" w:eastAsia="es-ES" w:bidi="ar-SA"/>
              </w:rPr>
              <w:t>Septiembre: 02</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3,</w:t>
            </w:r>
            <w:r>
              <w:rPr>
                <w:rFonts w:eastAsia="Calibri" w:cs="Arial" w:ascii="Arial" w:hAnsi="Arial"/>
                <w:kern w:val="0"/>
                <w:sz w:val="18"/>
                <w:szCs w:val="18"/>
                <w:lang w:eastAsia="en-US" w:bidi="ar-SA"/>
              </w:rPr>
              <w:t>166</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w:t>
            </w:r>
            <w:r>
              <w:rPr>
                <w:rFonts w:eastAsia="Calibri" w:cs="Arial" w:ascii="Arial" w:hAnsi="Arial"/>
                <w:kern w:val="0"/>
                <w:sz w:val="18"/>
                <w:szCs w:val="18"/>
                <w:lang w:eastAsia="en-US" w:bidi="ar-SA"/>
              </w:rPr>
              <w:t>090</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2,000</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2,</w:t>
            </w:r>
            <w:r>
              <w:rPr>
                <w:rFonts w:eastAsia="Calibri" w:cs="Arial" w:ascii="Arial" w:hAnsi="Arial"/>
                <w:kern w:val="0"/>
                <w:sz w:val="18"/>
                <w:szCs w:val="18"/>
                <w:lang w:eastAsia="en-US" w:bidi="ar-SA"/>
              </w:rPr>
              <w:t>045</w:t>
            </w:r>
          </w:p>
        </w:tc>
      </w:tr>
      <w:tr>
        <w:trPr>
          <w:trHeight w:val="737" w:hRule="atLeast"/>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Abril: 15, 22</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Mayo:6</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Septiembre: 16, 23, 30 </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Octubre: 14, 21, 28, </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Noviembre: 04</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 xml:space="preserve">2026 </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000000" w:themeColor="text1"/>
                <w:kern w:val="0"/>
                <w:sz w:val="18"/>
                <w:szCs w:val="18"/>
                <w:lang w:val="es-ES_tradnl" w:eastAsia="es-ES" w:bidi="ar-SA"/>
              </w:rPr>
              <w:t>Marzo: 3, 10</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3,479</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2,269</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2,180</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2,224</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Abril: 8 </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Julio: 15</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Septiembre: 9</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Octubre: 7</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Noviembre: 11, 18, 25 </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2026</w:t>
            </w:r>
          </w:p>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17</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3,748</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2,449</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2,359</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2,404</w:t>
            </w:r>
          </w:p>
        </w:tc>
      </w:tr>
      <w:tr>
        <w:trPr>
          <w:trHeight w:val="737" w:hRule="atLeast"/>
        </w:trPr>
        <w:tc>
          <w:tcPr>
            <w:tcW w:w="1553"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124"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Abril: 1</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FF0000"/>
                <w:sz w:val="18"/>
                <w:szCs w:val="18"/>
                <w:lang w:val="es-ES_tradnl" w:eastAsia="es-ES"/>
              </w:rPr>
            </w:pPr>
            <w:r>
              <w:rPr>
                <w:rFonts w:eastAsia="Times New Roman" w:cs="Arial" w:ascii="Arial" w:hAnsi="Arial"/>
                <w:color w:val="FF0000"/>
                <w:kern w:val="0"/>
                <w:sz w:val="18"/>
                <w:szCs w:val="18"/>
                <w:lang w:val="es-ES_tradnl" w:eastAsia="es-ES" w:bidi="ar-SA"/>
              </w:rPr>
              <w:t>2026</w:t>
            </w:r>
          </w:p>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24 y 31</w:t>
            </w:r>
          </w:p>
        </w:tc>
        <w:tc>
          <w:tcPr>
            <w:tcW w:w="1278"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4,107</w:t>
            </w:r>
          </w:p>
        </w:tc>
        <w:tc>
          <w:tcPr>
            <w:tcW w:w="1279"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2,628</w:t>
            </w:r>
          </w:p>
        </w:tc>
        <w:tc>
          <w:tcPr>
            <w:tcW w:w="127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2,538</w:t>
            </w:r>
          </w:p>
        </w:tc>
        <w:tc>
          <w:tcPr>
            <w:tcW w:w="123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2,583</w:t>
            </w:r>
          </w:p>
        </w:tc>
      </w:tr>
    </w:tbl>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3248"/>
        <w:gridCol w:w="3249"/>
        <w:gridCol w:w="3249"/>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746" w:type="dxa"/>
            <w:gridSpan w:val="3"/>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18"/>
                <w:szCs w:val="18"/>
                <w:lang w:eastAsia="es-ES"/>
              </w:rPr>
            </w:pPr>
            <w:r>
              <w:rPr>
                <w:rFonts w:eastAsia="Times New Roman" w:cs="Arial" w:ascii="Arial" w:hAnsi="Arial"/>
                <w:b/>
                <w:bCs/>
                <w:color w:val="FFFFFF" w:themeColor="background1"/>
                <w:kern w:val="0"/>
                <w:sz w:val="18"/>
                <w:szCs w:val="18"/>
                <w:lang w:eastAsia="es-ES" w:bidi="ar-SA"/>
              </w:rPr>
              <w:t>EXCURSION OPCIONAL</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MX" w:eastAsia="es-ES"/>
              </w:rPr>
            </w:pPr>
            <w:r>
              <w:rPr>
                <w:rFonts w:eastAsia="Times New Roman" w:cs="Arial" w:ascii="Arial" w:hAnsi="Arial"/>
                <w:b/>
                <w:bCs/>
                <w:kern w:val="0"/>
                <w:sz w:val="18"/>
                <w:szCs w:val="18"/>
                <w:lang w:val="es-MX" w:eastAsia="es-ES" w:bidi="ar-SA"/>
              </w:rPr>
              <w:t xml:space="preserve">TOUR/ACTIVIDAD </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ADULTO</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NIÑO</w:t>
            </w:r>
          </w:p>
        </w:tc>
      </w:tr>
      <w:tr>
        <w:trPr>
          <w:trHeight w:val="381" w:hRule="atLeast"/>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TOUR OPCIONAL A HIROSHIMA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448</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358</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ACTIVIDAD OPCIONAL “CEREMONIA DEL TÉ” EN ASAKUSA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269</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s-MX" w:eastAsia="es-ES"/>
              </w:rPr>
            </w:pPr>
            <w:r>
              <w:rPr>
                <w:rFonts w:cs="Arial" w:ascii="Arial" w:hAnsi="Arial"/>
                <w:kern w:val="0"/>
                <w:sz w:val="18"/>
                <w:szCs w:val="18"/>
                <w:lang w:eastAsia="en-US" w:bidi="ar-SA"/>
              </w:rPr>
              <w:t xml:space="preserve">USD </w:t>
            </w:r>
            <w:r>
              <w:rPr>
                <w:rFonts w:eastAsia="Times New Roman" w:cs="Arial" w:ascii="Arial" w:hAnsi="Arial"/>
                <w:kern w:val="0"/>
                <w:sz w:val="18"/>
                <w:szCs w:val="18"/>
                <w:lang w:val="es-MX" w:eastAsia="es-ES" w:bidi="ar-SA"/>
              </w:rPr>
              <w:t>179</w:t>
            </w:r>
          </w:p>
        </w:tc>
      </w:tr>
    </w:tbl>
    <w:p>
      <w:pPr>
        <w:pStyle w:val="Normal"/>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jc w:val="both"/>
        <w:rPr>
          <w:rFonts w:ascii="Arial" w:hAnsi="Arial" w:cs="Arial"/>
          <w:b/>
          <w:b/>
          <w:bCs/>
          <w:i/>
          <w:i/>
          <w:sz w:val="18"/>
          <w:szCs w:val="18"/>
          <w:u w:val="single"/>
          <w:lang w:val="es-CO" w:eastAsia="es-ES"/>
        </w:rPr>
      </w:pPr>
      <w:r>
        <w:rPr>
          <w:rFonts w:eastAsia="Times New Roman" w:cs="Arial" w:ascii="Arial" w:hAnsi="Arial"/>
          <w:b/>
          <w:color w:val="E36C0A"/>
          <w:sz w:val="18"/>
          <w:szCs w:val="18"/>
          <w:u w:val="single"/>
          <w:lang w:eastAsia="es-ES"/>
        </w:rPr>
        <w:t>EL PRECIO INCLUYE</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Alojamiento en Tokio y Kioto</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Traslados &amp; Excursiones: Indicados en el itinerario. Cuando hay menos de 10 pasajeros, el transporte público podría ser utilizado para visitas,</w:t>
      </w:r>
    </w:p>
    <w:p>
      <w:pPr>
        <w:pStyle w:val="NoSpacing"/>
        <w:widowControl w:val="false"/>
        <w:numPr>
          <w:ilvl w:val="0"/>
          <w:numId w:val="4"/>
        </w:numPr>
        <w:spacing w:lineRule="exact" w:line="240"/>
        <w:jc w:val="both"/>
        <w:textAlignment w:val="baseline"/>
        <w:rPr>
          <w:color w:val="000000" w:themeColor="text1"/>
          <w:lang w:val="es-ES"/>
        </w:rPr>
      </w:pPr>
      <w:r>
        <w:rPr>
          <w:rFonts w:cs="Arial" w:ascii="Arial" w:hAnsi="Arial"/>
          <w:color w:val="000000" w:themeColor="text1"/>
          <w:sz w:val="18"/>
          <w:szCs w:val="18"/>
          <w:lang w:val="es-ES" w:eastAsia="es-ES"/>
        </w:rPr>
        <w:t>Guía de habla española en las excursiones (Días 2-5) y en el tour opcional a Hiroshima (Día 6).</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Asistente de habla española para los siguientes traslados;</w:t>
      </w:r>
    </w:p>
    <w:p>
      <w:pPr>
        <w:pStyle w:val="NoSpacing"/>
        <w:widowControl w:val="false"/>
        <w:numPr>
          <w:ilvl w:val="1"/>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1: Asistencia en el aeropuerto de llegada para tomar el Airport Limousine Bus o taxi (sin asistencia a bordo).</w:t>
      </w:r>
    </w:p>
    <w:p>
      <w:pPr>
        <w:pStyle w:val="NoSpacing"/>
        <w:widowControl w:val="false"/>
        <w:numPr>
          <w:ilvl w:val="1"/>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4: Del hotel en Tokio a la Estación de Tokio.</w:t>
      </w:r>
    </w:p>
    <w:p>
      <w:pPr>
        <w:pStyle w:val="NoSpacing"/>
        <w:widowControl w:val="false"/>
        <w:numPr>
          <w:ilvl w:val="1"/>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No habrá asistencia en español en el traslado de salida.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Desayunos diarios y 2 almuerzos</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Tren bala Nozomi (Tokio-Kioto) / asientos reservados en clase turista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Entradas a los lugares mencionados en el itinerario están incluidas.</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Cuando hay 15 o más pasajeros en el mismo grupo, usaremos el sistema de audioguía  en las visitas para que escuchen bien las explicaciones del guía aún cuando están alejados de él/ella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Envío de equipaje:</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4: Maletas serán transportadas aparte en camión desde el hotel en Tokio hasta el hotel en Kioto.</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Entre los aeropuertos y los hoteles, las maletas serán transportadas en el maletero del vehículo.</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 principio sólo 1 maleta por persona está permitida (de tamaño normal / hasta 23kg).</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Cuando hay más de 40 pasajeros en una salida, fletamos un camión privado para transportar las maletas</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desde el Hotel New Otani al Hotel Kyoto Tokyu, y en este caso las maletas llegan al hotel en Kioto</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 la tarde del mismo día. En la temporada baja cuando no hay suficientes pasajeros, no fletamos un camión</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y usamos un servicio regular de entrega, y en este caso las maletas llegan al hotel en Kioto al día siguiente,</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de manera que los pasajeros necesitan llevar consigo una mochila o pequeña maleta con ropa</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y otras cosas indispensables para pasar una noche.</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de salida: Si llevan más de una maleta por persona, el chófer de MK Skygate Shuttle cobrará a los pasajeros un suplemento (consultar suplemento) por una maleta adicional. Aparte de una maleta, cada pasajero puede llevar consigo sin ningún suplemento hasta dos piezas pequeñas de equipaje, por ejemplo, mochilas, siempre y cuando la suma de los 3 lados de cada pieza no supere 100 cm</w:t>
      </w:r>
    </w:p>
    <w:p>
      <w:pPr>
        <w:pStyle w:val="NoSpacing"/>
        <w:widowControl w:val="false"/>
        <w:spacing w:lineRule="exact" w:line="240"/>
        <w:ind w:left="72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r>
    </w:p>
    <w:p>
      <w:pPr>
        <w:pStyle w:val="NoSpacing"/>
        <w:widowControl w:val="false"/>
        <w:jc w:val="both"/>
        <w:rPr>
          <w:lang w:val="es-MX"/>
        </w:rPr>
      </w:pPr>
      <w:r>
        <w:rPr>
          <w:rFonts w:cs="Arial" w:ascii="Arial" w:hAnsi="Arial"/>
          <w:b/>
          <w:color w:val="E36C0A"/>
          <w:sz w:val="18"/>
          <w:szCs w:val="18"/>
          <w:u w:val="single"/>
          <w:lang w:val="es-MX" w:eastAsia="es-ES"/>
        </w:rPr>
        <w:t>EL PRECIO NO INCLUYE</w:t>
      </w:r>
    </w:p>
    <w:p>
      <w:pPr>
        <w:pStyle w:val="NoSpacing"/>
        <w:widowControl w:val="false"/>
        <w:ind w:left="360" w:hanging="0"/>
        <w:jc w:val="both"/>
        <w:rPr>
          <w:rFonts w:ascii="Arial" w:hAnsi="Arial" w:cs="Arial"/>
          <w:b/>
          <w:b/>
          <w:color w:val="000000" w:themeColor="text1"/>
          <w:sz w:val="18"/>
          <w:szCs w:val="18"/>
          <w:u w:val="single"/>
          <w:lang w:val="es-ES" w:eastAsia="es-ES"/>
        </w:rPr>
      </w:pPr>
      <w:r>
        <w:rPr>
          <w:rFonts w:cs="Arial" w:ascii="Arial" w:hAnsi="Arial"/>
          <w:b/>
          <w:color w:val="000000" w:themeColor="text1"/>
          <w:sz w:val="18"/>
          <w:szCs w:val="18"/>
          <w:u w:val="single"/>
          <w:lang w:val="es-ES" w:eastAsia="es-ES"/>
        </w:rPr>
      </w:r>
    </w:p>
    <w:p>
      <w:pPr>
        <w:pStyle w:val="NoSpacing"/>
        <w:widowControl w:val="false"/>
        <w:numPr>
          <w:ilvl w:val="0"/>
          <w:numId w:val="1"/>
        </w:numPr>
        <w:jc w:val="both"/>
        <w:textAlignment w:val="baseline"/>
        <w:rPr>
          <w:color w:val="000000" w:themeColor="text1"/>
          <w:lang w:val="es-ES"/>
        </w:rPr>
      </w:pPr>
      <w:r>
        <w:rPr>
          <w:rFonts w:cs="Arial" w:ascii="Arial" w:hAnsi="Arial"/>
          <w:color w:val="000000" w:themeColor="text1"/>
          <w:sz w:val="18"/>
          <w:szCs w:val="18"/>
          <w:lang w:val="es-ES" w:eastAsia="es-ES"/>
        </w:rPr>
        <w:t>Boleto de avión México – Tokio – México</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Gastos personales</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Propinas NO INCLUIDAS</w:t>
      </w:r>
    </w:p>
    <w:p>
      <w:pPr>
        <w:pStyle w:val="NoSpacing"/>
        <w:widowControl w:val="false"/>
        <w:numPr>
          <w:ilvl w:val="0"/>
          <w:numId w:val="1"/>
        </w:numPr>
        <w:jc w:val="both"/>
        <w:textAlignment w:val="baseline"/>
        <w:rPr>
          <w:color w:val="000000" w:themeColor="text1"/>
          <w:lang w:val="es-ES"/>
        </w:rPr>
      </w:pPr>
      <w:r>
        <w:rPr>
          <w:rFonts w:cs="Arial" w:ascii="Arial" w:hAnsi="Arial"/>
          <w:color w:val="000000" w:themeColor="text1"/>
          <w:sz w:val="18"/>
          <w:szCs w:val="18"/>
          <w:lang w:val="es-ES" w:eastAsia="es-ES"/>
        </w:rPr>
        <w:t xml:space="preserve">Visitas marcadas como </w:t>
      </w:r>
      <w:r>
        <w:rPr>
          <w:rFonts w:cs="Arial" w:ascii="Arial" w:hAnsi="Arial"/>
          <w:i/>
          <w:color w:val="000000" w:themeColor="text1"/>
          <w:sz w:val="18"/>
          <w:szCs w:val="18"/>
          <w:u w:val="single"/>
          <w:lang w:val="es-ES" w:eastAsia="es-ES"/>
        </w:rPr>
        <w:t>OPCIONALES</w:t>
      </w:r>
      <w:r>
        <w:rPr>
          <w:rFonts w:cs="Arial" w:ascii="Arial" w:hAnsi="Arial"/>
          <w:color w:val="000000" w:themeColor="text1"/>
          <w:sz w:val="18"/>
          <w:szCs w:val="18"/>
          <w:lang w:val="es-ES" w:eastAsia="es-ES"/>
        </w:rPr>
        <w:t xml:space="preserve"> o </w:t>
      </w:r>
      <w:r>
        <w:rPr>
          <w:rFonts w:cs="Arial" w:ascii="Arial" w:hAnsi="Arial"/>
          <w:i/>
          <w:color w:val="000000" w:themeColor="text1"/>
          <w:sz w:val="18"/>
          <w:szCs w:val="18"/>
          <w:u w:val="single"/>
          <w:lang w:val="es-ES" w:eastAsia="es-ES"/>
        </w:rPr>
        <w:t>POR SU CUENTA</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Ningún servicio NO especificado</w:t>
      </w:r>
    </w:p>
    <w:p>
      <w:pPr>
        <w:pStyle w:val="NoSpacing"/>
        <w:widowControl w:val="false"/>
        <w:numPr>
          <w:ilvl w:val="0"/>
          <w:numId w:val="1"/>
        </w:numPr>
        <w:jc w:val="both"/>
        <w:textAlignment w:val="baseline"/>
        <w:rPr>
          <w:color w:val="000000" w:themeColor="text1"/>
          <w:lang w:val="es-MX"/>
        </w:rPr>
      </w:pPr>
      <w:r>
        <w:rPr>
          <w:rFonts w:cs="Arial" w:ascii="Arial" w:hAnsi="Arial"/>
          <w:color w:val="000000" w:themeColor="text1"/>
          <w:sz w:val="18"/>
          <w:szCs w:val="18"/>
          <w:lang w:val="es-MX" w:eastAsia="es-ES"/>
        </w:rPr>
        <w:t>TASAS DE SALIDA DEL PAIS</w:t>
      </w:r>
    </w:p>
    <w:p>
      <w:pPr>
        <w:pStyle w:val="Standard"/>
        <w:spacing w:lineRule="auto" w:line="240" w:before="0" w:after="0"/>
        <w:rPr>
          <w:rFonts w:ascii="Arial" w:hAnsi="Arial" w:eastAsia="Times New Roman" w:cs="Arial"/>
          <w:b/>
          <w:b/>
          <w:color w:val="000000" w:themeColor="text1"/>
          <w:sz w:val="18"/>
          <w:szCs w:val="18"/>
          <w:u w:val="single"/>
          <w:lang w:eastAsia="es-ES"/>
        </w:rPr>
      </w:pPr>
      <w:r>
        <w:rPr>
          <w:rFonts w:eastAsia="Times New Roman" w:cs="Arial" w:ascii="Arial" w:hAnsi="Arial"/>
          <w:b/>
          <w:color w:val="000000" w:themeColor="text1"/>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NOTAS IMPORTANTES:</w:t>
      </w:r>
    </w:p>
    <w:p>
      <w:pPr>
        <w:pStyle w:val="Standard"/>
        <w:numPr>
          <w:ilvl w:val="0"/>
          <w:numId w:val="2"/>
        </w:numPr>
        <w:spacing w:lineRule="auto" w:line="240" w:before="0" w:after="0"/>
        <w:jc w:val="both"/>
        <w:rPr>
          <w:rFonts w:ascii="Arial" w:hAnsi="Arial" w:eastAsia="Times New Roman" w:cs="Arial"/>
          <w:b/>
          <w:b/>
          <w:color w:val="000000" w:themeColor="text1"/>
          <w:sz w:val="18"/>
          <w:szCs w:val="18"/>
          <w:u w:val="single"/>
          <w:lang w:eastAsia="es-ES"/>
        </w:rPr>
      </w:pPr>
      <w:r>
        <w:rPr>
          <w:rFonts w:cs="Arial" w:ascii="Arial" w:hAnsi="Arial"/>
          <w:color w:val="000000" w:themeColor="text1"/>
          <w:sz w:val="18"/>
          <w:szCs w:val="18"/>
        </w:rPr>
        <w:t xml:space="preserve">EQUIPAJE: 1 maleta de tamaño normal (hasta 23 kg) por persona incluida. </w:t>
      </w:r>
    </w:p>
    <w:p>
      <w:pPr>
        <w:pStyle w:val="NoSpacing"/>
        <w:widowControl w:val="false"/>
        <w:numPr>
          <w:ilvl w:val="0"/>
          <w:numId w:val="2"/>
        </w:numPr>
        <w:jc w:val="both"/>
        <w:textAlignment w:val="baseline"/>
        <w:rPr>
          <w:color w:val="000000" w:themeColor="text1"/>
          <w:lang w:val="es-ES"/>
        </w:rPr>
      </w:pPr>
      <w:r>
        <w:rPr>
          <w:rFonts w:cs="Arial" w:ascii="Arial" w:hAnsi="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spacing w:lineRule="exact" w:line="240"/>
        <w:jc w:val="both"/>
        <w:textAlignment w:val="baseline"/>
        <w:rPr>
          <w:color w:val="000000" w:themeColor="text1"/>
          <w:lang w:val="es-ES"/>
        </w:rPr>
      </w:pPr>
      <w:r>
        <w:rPr>
          <w:rFonts w:cs="Arial" w:ascii="Arial" w:hAnsi="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La vigencia de su pasaporte deberá tener mínimo seis meses a partir de la fecha de finalización de su viaje.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val="es-ES_tradnl" w:eastAsia="es-ES"/>
        </w:rPr>
        <w:t>Los servicios de traslados y excursiones en esta cotización son otorgados como servicios regulares, estos servicios están sujetos a horarios preestablecidos.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val="es-ES_tradnl" w:eastAsia="es-ES"/>
        </w:rPr>
        <w:t>Cualquier servicio adicional durante el viaje debe ser pagado por el cliente.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cs="Arial" w:ascii="Arial" w:hAnsi="Arial"/>
          <w:color w:val="000000" w:themeColor="text1"/>
          <w:sz w:val="18"/>
          <w:szCs w:val="18"/>
        </w:rPr>
        <w:t>Si su avión regresa por la tarde, el hotel podrá mantener sus pertenencias.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eastAsia="es-ES"/>
        </w:rPr>
        <w:t>CIRCUITOS REGULARES Y GARANTIZADOS.</w:t>
      </w:r>
    </w:p>
    <w:p>
      <w:pPr>
        <w:pStyle w:val="ListParagraph"/>
        <w:widowControl w:val="false"/>
        <w:spacing w:lineRule="exact" w:line="240" w:before="0" w:after="0"/>
        <w:contextualSpacing/>
        <w:jc w:val="both"/>
        <w:rPr>
          <w:color w:val="000000" w:themeColor="text1"/>
        </w:rPr>
      </w:pPr>
      <w:r>
        <w:rPr>
          <w:rFonts w:cs="Arial" w:ascii="Arial" w:hAnsi="Arial"/>
          <w:color w:val="000000" w:themeColor="text1"/>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pPr>
        <w:pStyle w:val="ListParagraph"/>
        <w:widowControl w:val="false"/>
        <w:spacing w:lineRule="exact" w:line="240" w:before="0" w:after="0"/>
        <w:contextualSpacing/>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Si los clientes desean otro hotel, deberán solicitar SERVICIOS PRIVADOS y en ese caso, la elección es de ellos, pagando el importe correspondiente por </w:t>
      </w:r>
    </w:p>
    <w:p>
      <w:pPr>
        <w:pStyle w:val="ListParagraph"/>
        <w:widowControl w:val="false"/>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SERVICIOS PRIVADOS, FIT y/o a la carta. 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eastAsia="es-ES"/>
        </w:rPr>
        <w:t>En caso de incidencia deberá denunciarlo en la Policía, para posteriores gestiones con su seguro. Tourmundial no indemnizará ni se responsabilizará en ningún caso por estos motivos, al no tener control ni poder controlar el equipaje de los clientes.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color w:val="000000" w:themeColor="text1"/>
        </w:rPr>
        <w:t>(</w:t>
      </w:r>
      <w:r>
        <w:rPr>
          <w:rFonts w:cs="Arial" w:ascii="Arial" w:hAnsi="Arial"/>
          <w:color w:val="000000" w:themeColor="text1"/>
          <w:sz w:val="18"/>
          <w:szCs w:val="18"/>
        </w:rPr>
        <w:t>1) 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 Los pasajeros pueden solicitar cama de matrimonio en Kioto y Tokio en las categorías superior y lujo sin suplemento, aunque no lo podemos garantizar ya que depende de la disponibilidad de cada hotel. (2) La habitación de uso individual puede ser más pequeña que twin. (3) La habitación triple será twin con una cama extra. La tercera cama puede ser más pequeña que las dos principales o puede ser sofá cama y pueden ser bastante estrechas. No recomendamos habitaciones triples para adultos. La habitación triple no se garantiza hasta recibir confirmación por parte de los hoteles. No recomendamos habitaciones triples para los adultos</w:t>
      </w:r>
      <w:r>
        <w:rPr>
          <w:rFonts w:cs="Arial" w:ascii="Arial" w:hAnsi="Arial"/>
          <w:b/>
          <w:color w:val="000000" w:themeColor="text1"/>
          <w:sz w:val="18"/>
          <w:szCs w:val="18"/>
          <w:lang w:eastAsia="es-ES"/>
        </w:rPr>
        <w:t xml:space="preserve"> </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b/>
          <w:color w:val="000000" w:themeColor="text1"/>
          <w:sz w:val="18"/>
          <w:szCs w:val="18"/>
          <w:lang w:eastAsia="es-ES"/>
        </w:rPr>
        <w:t>CAMBIOS Y MODIFICACIONES.</w:t>
      </w:r>
      <w:r>
        <w:rPr>
          <w:rFonts w:cs="Arial" w:ascii="Arial" w:hAnsi="Arial"/>
          <w:color w:val="000000" w:themeColor="text1"/>
          <w:sz w:val="18"/>
          <w:szCs w:val="18"/>
          <w:lang w:eastAsia="es-ES"/>
        </w:rPr>
        <w:t xml:space="preserve"> Cualquier cambio o modificación en reservas confirmadas, conllevara un gasto fijo de 30 USD por cada cambio hasta 21 días antes de la fecha. A partir de ahí, se aplican gastos de cancelación</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 xml:space="preserve">Nuestra Organización, Tourmundial, es la más interesada en respetar y cumplir los programas tal y como están diseñados. </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Servicio de Guía durante los circuitos:</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Los días libres, NO INCLUYEN servicio de guía y transporte.</w:t>
      </w:r>
    </w:p>
    <w:p>
      <w:pPr>
        <w:pStyle w:val="ListParagraph"/>
        <w:widowControl w:val="false"/>
        <w:numPr>
          <w:ilvl w:val="0"/>
          <w:numId w:val="2"/>
        </w:numPr>
        <w:spacing w:lineRule="exact"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Si es un viaje de luna de miel, informar con 3 semanas de antelación a la fecha de llegada a Japón. Si nos lo avisan después del inicio del tour, ya será demasiado tarde para cambiar la habitación a una con una cama matrimonial.</w:t>
      </w:r>
    </w:p>
    <w:p>
      <w:pPr>
        <w:pStyle w:val="ListParagraph"/>
        <w:widowControl w:val="false"/>
        <w:numPr>
          <w:ilvl w:val="0"/>
          <w:numId w:val="2"/>
        </w:numPr>
        <w:spacing w:lineRule="exact"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Avisar si los pasajeros tienen alguna restricción alimenticia (alergía etc.) hasta 3 semanas antes de la fecha de llegada a Japón. Los restaurantes no podrán adaptar comidas a última hora</w:t>
      </w:r>
    </w:p>
    <w:p>
      <w:pPr>
        <w:pStyle w:val="ListParagraph"/>
        <w:widowControl w:val="false"/>
        <w:numPr>
          <w:ilvl w:val="0"/>
          <w:numId w:val="2"/>
        </w:numPr>
        <w:spacing w:before="0" w:after="200"/>
        <w:contextualSpacing w:val="false"/>
        <w:jc w:val="both"/>
        <w:textAlignment w:val="baseline"/>
        <w:rPr>
          <w:color w:val="000000" w:themeColor="text1"/>
        </w:rPr>
      </w:pPr>
      <w:r>
        <w:rPr>
          <w:rFonts w:cs="Arial" w:ascii="Arial" w:hAnsi="Arial"/>
          <w:b/>
          <w:color w:val="000000" w:themeColor="text1"/>
          <w:sz w:val="18"/>
          <w:szCs w:val="18"/>
          <w:u w:val="single"/>
          <w:lang w:eastAsia="es-ES"/>
        </w:rPr>
        <w:t>Operación a partir de mínimo 1 .</w:t>
      </w:r>
    </w:p>
    <w:p>
      <w:pPr>
        <w:pStyle w:val="Standard"/>
        <w:widowControl w:val="false"/>
        <w:spacing w:lineRule="auto" w:line="240" w:before="0" w:after="0"/>
        <w:jc w:val="both"/>
        <w:rPr>
          <w:color w:val="E36C0A" w:themeColor="accent6" w:themeShade="bf"/>
        </w:rPr>
      </w:pPr>
      <w:r>
        <w:rPr>
          <w:rFonts w:eastAsia="Times New Roman" w:cs="Arial" w:ascii="Arial" w:hAnsi="Arial"/>
          <w:b/>
          <w:color w:val="E36C0A" w:themeColor="accent6" w:themeShade="bf"/>
          <w:sz w:val="18"/>
          <w:szCs w:val="18"/>
          <w:u w:val="single"/>
          <w:lang w:eastAsia="es-ES"/>
        </w:rPr>
        <w:t>AVISO DE PRIVACIDAD:</w:t>
      </w:r>
    </w:p>
    <w:p>
      <w:pPr>
        <w:pStyle w:val="Standard"/>
        <w:widowControl w:val="false"/>
        <w:jc w:val="both"/>
        <w:rPr>
          <w:color w:val="000000" w:themeColor="text1"/>
        </w:rPr>
      </w:pPr>
      <w:r>
        <w:rPr>
          <w:rFonts w:cs="Arial" w:ascii="Arial" w:hAnsi="Arial"/>
          <w:color w:val="000000" w:themeColor="text1"/>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Internetlink"/>
            <w:rFonts w:cs="Arial" w:ascii="Arial" w:hAnsi="Arial"/>
            <w:color w:val="000000" w:themeColor="text1"/>
            <w:sz w:val="18"/>
            <w:szCs w:val="18"/>
          </w:rPr>
          <w:t>www.tourmundial.mx</w:t>
        </w:r>
      </w:hyperlink>
    </w:p>
    <w:p>
      <w:pPr>
        <w:pStyle w:val="NoSpacing"/>
        <w:widowControl w:val="false"/>
        <w:jc w:val="center"/>
        <w:rPr>
          <w:lang w:val="es-ES"/>
        </w:rPr>
      </w:pPr>
      <w:r>
        <w:rPr>
          <w:rFonts w:cs="Arial" w:ascii="Arial" w:hAnsi="Arial"/>
          <w:b/>
          <w:color w:val="E36C0A"/>
          <w:sz w:val="18"/>
          <w:szCs w:val="18"/>
          <w:u w:val="single"/>
          <w:lang w:val="es-ES" w:eastAsia="es-ES"/>
        </w:rPr>
        <w:t>VIGENCIA 02 ABRIL 2024  AL 31 MARZO 2026</w:t>
      </w:r>
    </w:p>
    <w:p>
      <w:pPr>
        <w:pStyle w:val="NoSpacing"/>
        <w:widowControl w:val="false"/>
        <w:jc w:val="center"/>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tbl>
      <w:tblPr>
        <w:tblW w:w="978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781"/>
      </w:tblGrid>
      <w:tr>
        <w:trPr>
          <w:trHeight w:val="431" w:hRule="atLeast"/>
        </w:trPr>
        <w:tc>
          <w:tcPr>
            <w:tcW w:w="9781"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rPr/>
            </w:pPr>
            <w:r>
              <w:rPr>
                <w:rFonts w:cs="Arial" w:ascii="Arial" w:hAnsi="Arial"/>
                <w:b/>
                <w:bCs/>
                <w:sz w:val="18"/>
                <w:szCs w:val="18"/>
                <w:u w:val="single"/>
                <w:lang w:val="es-ES" w:eastAsia="es-ES"/>
              </w:rPr>
              <w:t>POLÍTICAS DE CANCELACIÓN</w:t>
            </w:r>
          </w:p>
        </w:tc>
      </w:tr>
      <w:tr>
        <w:trPr>
          <w:trHeight w:val="1421" w:hRule="atLeast"/>
        </w:trPr>
        <w:tc>
          <w:tcPr>
            <w:tcW w:w="9781" w:type="dxa"/>
            <w:tcBorders>
              <w:left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t>Cancelación hasta 31 días antes de la salida                                                        No hay gastos de cancelación</w:t>
            </w:r>
          </w:p>
          <w:p>
            <w:pPr>
              <w:pStyle w:val="NoSpacing"/>
              <w:widowControl w:val="false"/>
              <w:rPr>
                <w:rFonts w:ascii="Arial" w:hAnsi="Arial" w:cs="Arial"/>
                <w:sz w:val="18"/>
                <w:szCs w:val="18"/>
                <w:lang w:val="es-ES"/>
              </w:rPr>
            </w:pPr>
            <w:r>
              <w:rPr>
                <w:rFonts w:cs="Arial" w:ascii="Arial" w:hAnsi="Arial"/>
                <w:sz w:val="18"/>
                <w:szCs w:val="18"/>
                <w:lang w:val="es-ES"/>
              </w:rPr>
              <w:t>Cancelación entre 30 y 22 días antes de la salida                                                         20%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21 y 8 días antes de la salida                                                           30%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7 y 2 días antes de la salida                                                             50%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desde 1 días antes de la salida                                                               100%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el día de llegada                                                                                      100% del precio del tour</w:t>
            </w:r>
          </w:p>
        </w:tc>
      </w:tr>
      <w:tr>
        <w:trPr>
          <w:trHeight w:val="54" w:hRule="atLeast"/>
        </w:trPr>
        <w:tc>
          <w:tcPr>
            <w:tcW w:w="9781"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r>
          </w:p>
        </w:tc>
      </w:tr>
    </w:tbl>
    <w:p>
      <w:pPr>
        <w:pStyle w:val="NoSpacing"/>
        <w:widowControl w:val="false"/>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lang w:val="es-ES"/>
        </w:rPr>
      </w:pPr>
      <w:r>
        <w:rPr>
          <w:lang w:val="es-ES"/>
        </w:rPr>
      </w:r>
    </w:p>
    <w:p>
      <w:pPr>
        <w:pStyle w:val="Standard"/>
        <w:spacing w:lineRule="auto" w:line="240" w:before="0" w:after="0"/>
        <w:jc w:val="both"/>
        <w:rPr/>
      </w:pPr>
      <w:r>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cs="Arial"/>
          <w:sz w:val="18"/>
          <w:szCs w:val="18"/>
          <w:lang w:val="es-MX"/>
        </w:rPr>
      </w:pPr>
      <w:r>
        <w:rPr/>
      </w:r>
    </w:p>
    <w:sectPr>
      <w:headerReference w:type="default" r:id="rId4"/>
      <w:footerReference w:type="default" r:id="rId5"/>
      <w:type w:val="nextPage"/>
      <w:pgSz w:w="11906" w:h="16838"/>
      <w:pgMar w:left="1080" w:right="1080" w:gutter="0" w:header="567" w:top="1440" w:footer="340"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p>
  <w:p>
    <w:pPr>
      <w:pStyle w:val="Piedepgina"/>
      <w:jc w:val="center"/>
      <w:rPr>
        <w:rFonts w:ascii="Arial" w:hAnsi="Arial" w:cs="Arial"/>
        <w:sz w:val="13"/>
        <w:szCs w:val="13"/>
      </w:rPr>
    </w:pPr>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0" distL="0" distR="0" simplePos="0" locked="0" layoutInCell="0" allowOverlap="1" relativeHeight="8" wp14:anchorId="7FDCB89B">
              <wp:simplePos x="0" y="0"/>
              <wp:positionH relativeFrom="column">
                <wp:posOffset>-1581150</wp:posOffset>
              </wp:positionH>
              <wp:positionV relativeFrom="paragraph">
                <wp:posOffset>-636270</wp:posOffset>
              </wp:positionV>
              <wp:extent cx="8439150" cy="1162050"/>
              <wp:effectExtent l="0" t="0" r="0" b="0"/>
              <wp:wrapNone/>
              <wp:docPr id="2" name="5 Rectángulo"/>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drawing>
        <wp:anchor behindDoc="1" distT="0" distB="0" distL="0" distR="0" simplePos="0" locked="0" layoutInCell="0" allowOverlap="1" relativeHeight="15">
          <wp:simplePos x="0" y="0"/>
          <wp:positionH relativeFrom="column">
            <wp:posOffset>0</wp:posOffset>
          </wp:positionH>
          <wp:positionV relativeFrom="paragraph">
            <wp:posOffset>-259715</wp:posOffset>
          </wp:positionV>
          <wp:extent cx="3005455" cy="72517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PicBulletId w:val="0"/>
      <w:lvlJc w:val="left"/>
      <w:pPr>
        <w:tabs>
          <w:tab w:val="num" w:pos="0"/>
        </w:tabs>
        <w:ind w:left="720" w:hanging="360"/>
      </w:pPr>
      <w:rPr>
        <w:rFonts w:ascii="Symbol" w:hAnsi="Symbol" w:cs="Symbol" w:hint="default"/>
        <w:sz w:val="16"/>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0c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qFormat/>
    <w:rsid w:val="00385e54"/>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Internetlink" w:customStyle="1">
    <w:name w:val="Hyperlink"/>
    <w:basedOn w:val="DefaultParagraphFont"/>
    <w:qFormat/>
    <w:rsid w:val="00253196"/>
    <w:rPr>
      <w:color w:val="0000FF"/>
      <w:u w:val="single"/>
    </w:rPr>
  </w:style>
  <w:style w:type="character" w:styleId="UnresolvedMention">
    <w:name w:val="Unresolved Mention"/>
    <w:basedOn w:val="DefaultParagraphFont"/>
    <w:uiPriority w:val="99"/>
    <w:semiHidden/>
    <w:unhideWhenUsed/>
    <w:qFormat/>
    <w:rsid w:val="00385e54"/>
    <w:rPr>
      <w:color w:val="605E5C"/>
      <w:shd w:fill="E1DFDD" w:val="clear"/>
    </w:rPr>
  </w:style>
  <w:style w:type="character" w:styleId="Normaltextrun" w:customStyle="1">
    <w:name w:val="normaltextrun"/>
    <w:basedOn w:val="DefaultParagraphFont"/>
    <w:qFormat/>
    <w:rsid w:val="007f433b"/>
    <w:rPr/>
  </w:style>
  <w:style w:type="character" w:styleId="Eop" w:customStyle="1">
    <w:name w:val="eop"/>
    <w:basedOn w:val="DefaultParagraphFont"/>
    <w:qFormat/>
    <w:rsid w:val="007f433b"/>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tandard" w:customStyle="1">
    <w:name w:val="Standard"/>
    <w:qFormat/>
    <w:rsid w:val="00253196"/>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es-ES" w:eastAsia="en-US" w:bidi="ar-SA"/>
    </w:rPr>
  </w:style>
  <w:style w:type="paragraph" w:styleId="Paragraph" w:customStyle="1">
    <w:name w:val="paragraph"/>
    <w:basedOn w:val="Normal"/>
    <w:qFormat/>
    <w:rsid w:val="007f433b"/>
    <w:pPr>
      <w:suppressAutoHyphens w:val="false"/>
      <w:spacing w:lineRule="auto" w:line="240" w:beforeAutospacing="1" w:afterAutospacing="1"/>
    </w:pPr>
    <w:rPr>
      <w:rFonts w:ascii="Times New Roman" w:hAnsi="Times New Roman" w:eastAsia="Times New Roman" w:cs="Times New Roman"/>
      <w:sz w:val="24"/>
      <w:szCs w:val="24"/>
      <w:lang w:val="es-MX" w:eastAsia="es-MX"/>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3.xml><?xml version="1.0" encoding="utf-8"?>
<ds:datastoreItem xmlns:ds="http://schemas.openxmlformats.org/officeDocument/2006/customXml" ds:itemID="{1E2BD7B1-DC21-4009-8C54-00F4A224642B}">
  <ds:schemaRefs>
    <ds:schemaRef ds:uri="http://schemas.openxmlformats.org/officeDocument/2006/bibliography"/>
  </ds:schemaRefs>
</ds:datastoreItem>
</file>

<file path=customXml/itemProps4.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576</TotalTime>
  <Application>LibreOffice/7.3.4.2$Windows_X86_64 LibreOffice_project/728fec16bd5f605073805c3c9e7c4212a0120dc5</Application>
  <AppVersion>15.0000</AppVersion>
  <Pages>7</Pages>
  <Words>3740</Words>
  <Characters>18171</Characters>
  <CharactersWithSpaces>22098</CharactersWithSpaces>
  <Paragraphs>248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2024-11-26T23:03:00Z</dcterms:created>
  <dc:creator>V2784160</dc:creator>
  <dc:description/>
  <dc:language>es-ES</dc:language>
  <cp:lastModifiedBy/>
  <cp:lastPrinted>2023-09-20T20:57:00Z</cp:lastPrinted>
  <dcterms:modified xsi:type="dcterms:W3CDTF">2025-02-20T09:55:34Z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