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677"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677"/>
      </w:tblGrid>
      <w:tr>
        <w:trPr>
          <w:trHeight w:val="567" w:hRule="atLeast"/>
          <w:cnfStyle w:val="100000000000" w:firstRow="1" w:lastRow="0" w:firstColumn="0" w:lastColumn="0" w:oddVBand="0" w:evenVBand="0" w:oddHBand="0" w:evenHBand="0" w:firstRowFirstColumn="0" w:firstRowLastColumn="0" w:lastRowFirstColumn="0" w:lastRowLastColumn="0"/>
        </w:trPr>
        <w:tc>
          <w:tcPr>
            <w:tcW w:w="9677"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vAlign w:val="bottom"/>
          </w:tcPr>
          <w:p>
            <w:pPr>
              <w:pStyle w:val="Normal"/>
              <w:widowControl/>
              <w:spacing w:lineRule="auto" w:line="240" w:before="0" w:after="0"/>
              <w:jc w:val="right"/>
              <w:rPr>
                <w:rFonts w:ascii="Arial" w:hAnsi="Arial" w:eastAsia="Times New Roman" w:cs="Arial"/>
                <w:color w:val="E36C0A" w:themeColor="accent6" w:themeShade="bf"/>
                <w:sz w:val="32"/>
                <w:szCs w:val="32"/>
                <w:lang w:eastAsia="es-ES"/>
              </w:rPr>
            </w:pPr>
            <w:r>
              <w:rPr>
                <w:rFonts w:eastAsia="Times New Roman" w:cs="Arial" w:ascii="Arial" w:hAnsi="Arial"/>
                <w:b/>
                <w:bCs/>
                <w:color w:val="E36C0A" w:themeColor="accent6" w:themeShade="bf"/>
                <w:kern w:val="0"/>
                <w:sz w:val="40"/>
                <w:szCs w:val="40"/>
                <w:lang w:eastAsia="es-ES" w:bidi="ar-SA"/>
              </w:rPr>
              <w:t>MACHU PICCHU Y PALCOYO</w:t>
            </w:r>
          </w:p>
        </w:tc>
      </w:tr>
    </w:tbl>
    <w:tbl>
      <w:tblPr>
        <w:tblStyle w:val="Cuadrculamedia1-nfasis6"/>
        <w:tblpPr w:bottomFromText="0" w:horzAnchor="margin" w:leftFromText="141" w:rightFromText="141" w:tblpX="0" w:tblpY="767" w:topFromText="0" w:vertAnchor="text"/>
        <w:tblW w:w="9616" w:type="dxa"/>
        <w:jc w:val="left"/>
        <w:tblInd w:w="-10" w:type="dxa"/>
        <w:shd w:fill="FDE4D0" w:val="clear"/>
        <w:tblLayout w:type="fixed"/>
        <w:tblCellMar>
          <w:top w:w="0" w:type="dxa"/>
          <w:left w:w="108" w:type="dxa"/>
          <w:bottom w:w="0" w:type="dxa"/>
          <w:right w:w="108" w:type="dxa"/>
        </w:tblCellMar>
        <w:tblLook w:firstRow="1" w:noVBand="1" w:lastRow="0" w:firstColumn="1" w:lastColumn="0" w:noHBand="0" w:val="04a0"/>
      </w:tblPr>
      <w:tblGrid>
        <w:gridCol w:w="9616"/>
      </w:tblGrid>
      <w:tr>
        <w:trPr>
          <w:trHeight w:val="1111" w:hRule="atLeast"/>
          <w:cnfStyle w:val="100000000000" w:firstRow="1" w:lastRow="0" w:firstColumn="0" w:lastColumn="0" w:oddVBand="0" w:evenVBand="0" w:oddHBand="0" w:evenHBand="0" w:firstRowFirstColumn="0" w:firstRowLastColumn="0" w:lastRowFirstColumn="0" w:lastRowLastColumn="0"/>
        </w:trPr>
        <w:tc>
          <w:tcPr>
            <w:tcW w:w="9616"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spacing w:lineRule="auto" w:line="240" w:before="0" w:after="0"/>
              <w:ind w:left="1410" w:hanging="1410"/>
              <w:jc w:val="both"/>
              <w:rPr>
                <w:rFonts w:ascii="Arial" w:hAnsi="Arial" w:eastAsia="Times New Roman" w:cs="Arial"/>
                <w:color w:val="000000"/>
                <w:sz w:val="18"/>
                <w:szCs w:val="18"/>
                <w:lang w:eastAsia="es-ES"/>
              </w:rPr>
            </w:pPr>
            <w:r>
              <w:rPr>
                <w:rFonts w:eastAsia="Times New Roman" w:cs="Arial" w:ascii="Arial" w:hAnsi="Arial"/>
                <w:b/>
                <w:bCs/>
                <w:color w:val="EF782D"/>
                <w:kern w:val="0"/>
                <w:sz w:val="18"/>
                <w:szCs w:val="18"/>
                <w:lang w:eastAsia="es-ES" w:bidi="ar-SA"/>
              </w:rPr>
              <w:t>Visitando</w:t>
            </w:r>
            <w:r>
              <w:rPr>
                <w:rFonts w:eastAsia="Times New Roman" w:cs="Arial" w:ascii="Arial" w:hAnsi="Arial"/>
                <w:b/>
                <w:bCs/>
                <w:color w:val="E36C0A" w:themeColor="accent6" w:themeShade="bf"/>
                <w:kern w:val="0"/>
                <w:sz w:val="18"/>
                <w:szCs w:val="18"/>
                <w:lang w:eastAsia="es-ES" w:bidi="ar-SA"/>
              </w:rPr>
              <w:t>:</w:t>
            </w:r>
            <w:r>
              <w:rPr>
                <w:rFonts w:eastAsia="Times New Roman" w:cs="Arial" w:ascii="Arial" w:hAnsi="Arial"/>
                <w:b/>
                <w:bCs/>
                <w:color w:val="000000"/>
                <w:kern w:val="0"/>
                <w:sz w:val="18"/>
                <w:szCs w:val="18"/>
                <w:lang w:eastAsia="es-ES" w:bidi="ar-SA"/>
              </w:rPr>
              <w:tab/>
              <w:t>Lima – Tour Express en Bicicleta – Cusco – Machu Picchu – Cordillera de Colores Palcoyo</w:t>
            </w:r>
          </w:p>
          <w:p>
            <w:pPr>
              <w:pStyle w:val="Normal"/>
              <w:widowControl/>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 xml:space="preserve"> Diarias del 01 de noviembre 2024 al 31 de marzo 2026 (algunas fechas no operan)</w:t>
            </w:r>
          </w:p>
          <w:p>
            <w:pPr>
              <w:pStyle w:val="Normal"/>
              <w:widowControl/>
              <w:spacing w:lineRule="auto" w:line="240" w:before="0" w:after="0"/>
              <w:ind w:left="1410" w:hanging="1410"/>
              <w:jc w:val="both"/>
              <w:rPr>
                <w:rFonts w:ascii="Arial" w:hAnsi="Arial" w:cs="Arial"/>
                <w:b w:val="false"/>
                <w:b w:val="false"/>
                <w:bCs w:val="false"/>
                <w:color w:val="FF0000"/>
                <w:sz w:val="18"/>
                <w:szCs w:val="18"/>
              </w:rPr>
            </w:pPr>
            <w:r>
              <w:rPr>
                <w:rFonts w:eastAsia="Times New Roman" w:cs="Arial" w:ascii="Arial" w:hAnsi="Arial"/>
                <w:b/>
                <w:bCs/>
                <w:color w:val="E36C0A" w:themeColor="accent6" w:themeShade="bf"/>
                <w:kern w:val="0"/>
                <w:sz w:val="18"/>
                <w:szCs w:val="18"/>
                <w:lang w:val="es-ES_tradnl" w:eastAsia="es-ES" w:bidi="ar-SA"/>
              </w:rPr>
              <w:t xml:space="preserve">                            </w:t>
            </w:r>
            <w:r>
              <w:rPr>
                <w:rFonts w:eastAsia="Calibri" w:cs="Arial" w:ascii="Arial" w:hAnsi="Arial"/>
                <w:b/>
                <w:bCs/>
                <w:color w:val="FF0000"/>
                <w:kern w:val="0"/>
                <w:sz w:val="18"/>
                <w:szCs w:val="18"/>
                <w:lang w:eastAsia="en-US" w:bidi="ar-SA"/>
              </w:rPr>
              <w:t xml:space="preserve">**Opera mínimo con 2 personas viajando juntas. </w:t>
            </w:r>
          </w:p>
          <w:p>
            <w:pPr>
              <w:pStyle w:val="Normal"/>
              <w:widowControl/>
              <w:spacing w:lineRule="auto" w:line="240" w:before="0" w:after="0"/>
              <w:ind w:left="1410" w:hanging="1410"/>
              <w:jc w:val="both"/>
              <w:rPr>
                <w:rFonts w:ascii="Arial" w:hAnsi="Arial" w:eastAsia="Times New Roman" w:cs="Arial"/>
                <w:color w:val="000000"/>
                <w:sz w:val="18"/>
                <w:szCs w:val="18"/>
                <w:u w:val="single"/>
                <w:lang w:val="es-ES_tradnl" w:eastAsia="es-ES"/>
              </w:rPr>
            </w:pPr>
            <w:r>
              <w:rPr>
                <w:rFonts w:cs="Arial" w:ascii="Arial" w:hAnsi="Arial"/>
                <w:b/>
                <w:bCs/>
                <w:color w:val="FF0000"/>
                <w:kern w:val="0"/>
                <w:sz w:val="18"/>
                <w:szCs w:val="18"/>
                <w:lang w:eastAsia="en-US" w:bidi="ar-SA"/>
              </w:rPr>
              <w:t xml:space="preserve">                            </w:t>
            </w:r>
            <w:r>
              <w:rPr>
                <w:rFonts w:cs="Arial" w:ascii="Arial" w:hAnsi="Arial"/>
                <w:b/>
                <w:bCs/>
                <w:color w:val="FF0000"/>
                <w:kern w:val="0"/>
                <w:sz w:val="18"/>
                <w:szCs w:val="18"/>
                <w:lang w:eastAsia="en-US" w:bidi="ar-SA"/>
              </w:rPr>
              <w:t>*PVS: Tarifa para Pasajero Viajando Solo, consultar suplementos</w:t>
            </w:r>
          </w:p>
          <w:p>
            <w:pPr>
              <w:pStyle w:val="Normal"/>
              <w:widowControl/>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ab/>
              <w:t>6 días / 5 noches</w:t>
            </w:r>
          </w:p>
          <w:p>
            <w:pPr>
              <w:pStyle w:val="Normal"/>
              <w:widowControl/>
              <w:spacing w:lineRule="auto" w:line="240" w:before="0" w:after="0"/>
              <w:ind w:left="1410" w:hanging="141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 xml:space="preserve">Alimentos:         </w:t>
            </w:r>
            <w:r>
              <w:rPr>
                <w:rFonts w:eastAsia="Times New Roman" w:cs="Arial" w:ascii="Arial" w:hAnsi="Arial"/>
                <w:b/>
                <w:bCs/>
                <w:kern w:val="0"/>
                <w:sz w:val="18"/>
                <w:szCs w:val="18"/>
                <w:lang w:val="es-ES_tradnl" w:eastAsia="es-ES" w:bidi="ar-SA"/>
              </w:rPr>
              <w:t>5 desayunos y 2 almuerzos</w:t>
            </w:r>
          </w:p>
        </w:tc>
      </w:tr>
    </w:tbl>
    <w:p>
      <w:pPr>
        <w:pStyle w:val="Normal"/>
        <w:spacing w:lineRule="auto" w:line="240" w:before="0" w:after="0"/>
        <w:jc w:val="both"/>
        <w:rPr>
          <w:rFonts w:ascii="Arial" w:hAnsi="Arial" w:eastAsia="Times New Roman" w:cs="Arial"/>
          <w:color w:val="000000"/>
          <w:sz w:val="16"/>
          <w:szCs w:val="30"/>
          <w:lang w:eastAsia="es-ES"/>
        </w:rPr>
      </w:pPr>
      <w:r>
        <w:rPr>
          <w:rFonts w:eastAsia="Times New Roman" w:cs="Arial" w:ascii="Arial" w:hAnsi="Arial"/>
          <w:color w:val="000000"/>
          <w:sz w:val="16"/>
          <w:szCs w:val="30"/>
          <w:lang w:eastAsia="es-ES"/>
        </w:rPr>
        <w:drawing>
          <wp:anchor behindDoc="0" distT="0" distB="0" distL="0" distR="114300" simplePos="0" locked="0" layoutInCell="0" allowOverlap="1" relativeHeight="6">
            <wp:simplePos x="0" y="0"/>
            <wp:positionH relativeFrom="margin">
              <wp:align>left</wp:align>
            </wp:positionH>
            <wp:positionV relativeFrom="margin">
              <wp:posOffset>1324610</wp:posOffset>
            </wp:positionV>
            <wp:extent cx="6127750" cy="1691640"/>
            <wp:effectExtent l="0" t="0" r="0" b="0"/>
            <wp:wrapSquare wrapText="bothSides"/>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9915" r="0" b="8033"/>
                    <a:stretch>
                      <a:fillRect/>
                    </a:stretch>
                  </pic:blipFill>
                  <pic:spPr bwMode="auto">
                    <a:xfrm>
                      <a:off x="0" y="0"/>
                      <a:ext cx="6127750" cy="1691640"/>
                    </a:xfrm>
                    <a:prstGeom prst="rect">
                      <a:avLst/>
                    </a:prstGeom>
                  </pic:spPr>
                </pic:pic>
              </a:graphicData>
            </a:graphic>
          </wp:anchor>
        </w:drawing>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center"/>
        <w:rPr>
          <w:rFonts w:ascii="Arial" w:hAnsi="Arial" w:eastAsia="Times New Roman" w:cs="Arial"/>
          <w:color w:val="000000"/>
          <w:sz w:val="14"/>
          <w:szCs w:val="26"/>
          <w:lang w:val="es-ES_tradnl" w:eastAsia="es-ES"/>
        </w:rPr>
      </w:pPr>
      <w:r>
        <w:rPr>
          <w:rFonts w:eastAsia="Times New Roman" w:cs="Arial" w:ascii="Arial" w:hAnsi="Arial"/>
          <w:color w:val="000000"/>
          <w:sz w:val="14"/>
          <w:szCs w:val="26"/>
          <w:lang w:val="es-ES_tradnl" w:eastAsia="es-ES"/>
        </w:rPr>
      </w:r>
    </w:p>
    <w:p>
      <w:pPr>
        <w:pStyle w:val="Normal"/>
        <w:spacing w:lineRule="auto" w:line="240" w:before="0" w:after="0"/>
        <w:jc w:val="both"/>
        <w:rPr>
          <w:rFonts w:ascii="Arial" w:hAnsi="Arial" w:eastAsia="Times New Roman" w:cs="Arial"/>
          <w:b/>
          <w:b/>
          <w:color w:val="EF782D"/>
          <w:sz w:val="18"/>
          <w:szCs w:val="18"/>
          <w:lang w:eastAsia="es-ES"/>
        </w:rPr>
      </w:pPr>
      <w:r>
        <w:rPr>
          <w:rFonts w:eastAsia="Times New Roman" w:cs="Arial" w:ascii="Arial" w:hAnsi="Arial"/>
          <w:b/>
          <w:color w:val="EF782D"/>
          <w:sz w:val="18"/>
          <w:szCs w:val="18"/>
          <w:lang w:eastAsia="es-ES"/>
        </w:rPr>
        <w:t>Día 1</w:t>
        <w:tab/>
        <w:t xml:space="preserve">Lima  </w:t>
      </w:r>
    </w:p>
    <w:p>
      <w:pPr>
        <w:pStyle w:val="Normal"/>
        <w:spacing w:lineRule="auto" w:line="240" w:before="0" w:after="0"/>
        <w:jc w:val="both"/>
        <w:rPr>
          <w:rFonts w:ascii="Arial" w:hAnsi="Arial" w:cs="Arial"/>
          <w:sz w:val="18"/>
          <w:szCs w:val="18"/>
        </w:rPr>
      </w:pPr>
      <w:r>
        <w:rPr>
          <w:rFonts w:cs="Arial" w:ascii="Arial" w:hAnsi="Arial"/>
          <w:sz w:val="18"/>
          <w:szCs w:val="18"/>
        </w:rPr>
        <w:t>Llegada a la ciudad de Lima, asistencia y traslado al hotel. Alojamiento en Lima.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2    Lima – Tour Express en Bicicleta</w:t>
      </w:r>
    </w:p>
    <w:p>
      <w:pPr>
        <w:pStyle w:val="Normal"/>
        <w:tabs>
          <w:tab w:val="clear" w:pos="708"/>
          <w:tab w:val="left" w:pos="4581" w:leader="none"/>
        </w:tabs>
        <w:spacing w:lineRule="auto" w:line="240" w:before="0" w:after="0"/>
        <w:jc w:val="both"/>
        <w:rPr>
          <w:rFonts w:ascii="Arial" w:hAnsi="Arial" w:cs="Arial"/>
          <w:sz w:val="18"/>
          <w:szCs w:val="18"/>
        </w:rPr>
      </w:pPr>
      <w:r>
        <w:rPr>
          <w:rFonts w:cs="Arial" w:ascii="Arial" w:hAnsi="Arial"/>
          <w:b/>
          <w:i/>
          <w:sz w:val="18"/>
          <w:szCs w:val="18"/>
          <w:u w:val="single"/>
        </w:rPr>
        <w:t>Desayuno.</w:t>
      </w:r>
      <w:r>
        <w:rPr>
          <w:rFonts w:cs="Arial" w:ascii="Arial" w:hAnsi="Arial"/>
          <w:sz w:val="18"/>
          <w:szCs w:val="18"/>
        </w:rPr>
        <w:t xml:space="preserve"> Inicio de actividad por la mañana o por la tarde. Salida del hotel, para realizar un tour de dos horas alrededor de los principales distritos de Miraflores y Barranco, será un recorrido inolvidable por todo el malecón con una hermosa vista del mar, y principales lugares de barranco, la parte bohemia de la ciudad, no te puedes perder la oportunidad de conocer esta hermosa ciudad, “La ciudad de los Reyes”. Finaliza el recorrido en el centro de Miraflores, y el regreso al hotel es por cuenta de los pasajeros. Alojamiento.</w:t>
      </w:r>
      <w:r>
        <w:rPr>
          <w:rFonts w:cs="Arial" w:ascii="Arial" w:hAnsi="Arial"/>
          <w:sz w:val="18"/>
          <w:szCs w:val="18"/>
          <w:lang w:val="es-MX" w:eastAsia="es-MX"/>
        </w:rPr>
        <w:t xml:space="preserve"> </w:t>
      </w:r>
    </w:p>
    <w:p>
      <w:pPr>
        <w:pStyle w:val="Normal"/>
        <w:tabs>
          <w:tab w:val="clear" w:pos="708"/>
          <w:tab w:val="left" w:pos="4581" w:leader="none"/>
        </w:tabs>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i/>
          <w:i/>
          <w:color w:val="262626" w:themeColor="text1" w:themeTint="d9"/>
          <w:sz w:val="18"/>
          <w:szCs w:val="18"/>
        </w:rPr>
      </w:pPr>
      <w:r>
        <w:rPr>
          <w:rFonts w:cs="Arial" w:ascii="Arial" w:hAnsi="Arial"/>
          <w:b/>
          <w:i/>
          <w:color w:val="262626" w:themeColor="text1" w:themeTint="d9"/>
          <w:sz w:val="18"/>
          <w:szCs w:val="18"/>
        </w:rPr>
        <w:t>Nota importante: (*) Se puede reemplazar con el city tour convencional si el cliente lo requiere.</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Día 3    Lima – Cusco</w:t>
      </w:r>
    </w:p>
    <w:p>
      <w:pPr>
        <w:pStyle w:val="Normal"/>
        <w:spacing w:lineRule="auto" w:line="240" w:before="0" w:after="0"/>
        <w:jc w:val="both"/>
        <w:rPr>
          <w:rFonts w:ascii="Arial" w:hAnsi="Arial" w:eastAsia="Batang" w:cs="Arial"/>
          <w:kern w:val="2"/>
          <w:sz w:val="18"/>
          <w:szCs w:val="18"/>
          <w:lang w:val="es-ES_tradnl" w:eastAsia="es-ES"/>
        </w:rPr>
      </w:pPr>
      <w:r>
        <w:rPr>
          <w:rFonts w:cs="Arial" w:ascii="Arial" w:hAnsi="Arial"/>
          <w:b/>
          <w:i/>
          <w:sz w:val="18"/>
          <w:szCs w:val="18"/>
          <w:u w:val="single"/>
        </w:rPr>
        <w:t>Desayuno.</w:t>
      </w:r>
      <w:r>
        <w:rPr>
          <w:rFonts w:cs="Arial" w:ascii="Arial" w:hAnsi="Arial"/>
          <w:sz w:val="18"/>
          <w:szCs w:val="18"/>
        </w:rPr>
        <w:t xml:space="preserve"> A la hora coordinada traslado al aeropuerto para abordar su vuelo a Cusco (billete de avión no incluido). </w:t>
      </w:r>
      <w:r>
        <w:rPr>
          <w:rFonts w:eastAsia="Batang" w:cs="Arial" w:ascii="Arial" w:hAnsi="Arial"/>
          <w:kern w:val="2"/>
          <w:sz w:val="18"/>
          <w:szCs w:val="18"/>
          <w:lang w:val="es-ES_tradnl" w:eastAsia="es-ES"/>
        </w:rPr>
        <w:t xml:space="preserve">Llegada a la Ciudad Imperial del Cusco, asistencia y traslado al hotel. Tarde Libre. Alojamiento.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Batang" w:cs="Arial"/>
          <w:i/>
          <w:i/>
          <w:iCs/>
          <w:kern w:val="2"/>
          <w:sz w:val="18"/>
          <w:szCs w:val="18"/>
          <w:lang w:val="es-ES_tradnl" w:eastAsia="es-ES"/>
        </w:rPr>
      </w:pPr>
      <w:r>
        <w:rPr>
          <w:rFonts w:cs="Arial" w:ascii="Arial" w:hAnsi="Arial"/>
          <w:i/>
          <w:iCs/>
          <w:color w:val="495057"/>
          <w:sz w:val="18"/>
          <w:szCs w:val="18"/>
          <w:shd w:fill="FFFFFF" w:val="clear"/>
        </w:rPr>
        <w:t xml:space="preserve">Nota: Favor de considerar que el vuelo de Lima a Cusco debe llegar antes d las 11:00hrs para poder dar tiempo a los pasajeros de aclimatarse. </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Día 4    Cusco – Machu Picchu – Cusco</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b/>
          <w:i/>
          <w:kern w:val="2"/>
          <w:sz w:val="18"/>
          <w:szCs w:val="18"/>
          <w:u w:val="single"/>
          <w:lang w:val="es-ES_tradnl" w:eastAsia="es-ES"/>
        </w:rPr>
        <w:t>Desayuno.</w:t>
      </w:r>
      <w:r>
        <w:rPr>
          <w:rFonts w:eastAsia="Batang" w:cs="Arial" w:ascii="Arial" w:hAnsi="Arial"/>
          <w:kern w:val="2"/>
          <w:sz w:val="18"/>
          <w:szCs w:val="18"/>
          <w:lang w:val="es-ES_tradnl" w:eastAsia="es-ES"/>
        </w:rPr>
        <w:t xml:space="preserve"> 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 los Incas y lleve consigo la satisfacción de haber contemplado un lugar incomparable en el mundo. Al finalizar la visita podrá disfrutar de un delicioso </w:t>
      </w:r>
      <w:r>
        <w:rPr>
          <w:rFonts w:eastAsia="Batang" w:cs="Arial" w:ascii="Arial" w:hAnsi="Arial"/>
          <w:b/>
          <w:i/>
          <w:kern w:val="2"/>
          <w:sz w:val="18"/>
          <w:szCs w:val="18"/>
          <w:u w:val="single"/>
          <w:lang w:val="es-ES_tradnl" w:eastAsia="es-ES"/>
        </w:rPr>
        <w:t>almuerzo incluido (no incluye bebidas)</w:t>
      </w:r>
      <w:r>
        <w:rPr>
          <w:rFonts w:eastAsia="Batang" w:cs="Arial" w:ascii="Arial" w:hAnsi="Arial"/>
          <w:kern w:val="2"/>
          <w:sz w:val="18"/>
          <w:szCs w:val="18"/>
          <w:lang w:val="es-ES_tradnl" w:eastAsia="es-ES"/>
        </w:rPr>
        <w:t>.  A la hora indicada abordará nuevamente el tren de regreso a Cusco; a la llegada traslado a su hotel. Alojamiento en Cusco.</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Día 5    Cusco – Palcoyo (La cordillera de colores) – Cusco</w:t>
      </w:r>
    </w:p>
    <w:p>
      <w:pPr>
        <w:pStyle w:val="Normal"/>
        <w:spacing w:lineRule="auto" w:line="240" w:before="0" w:after="0"/>
        <w:jc w:val="both"/>
        <w:rPr>
          <w:rFonts w:ascii="Arial" w:hAnsi="Arial" w:eastAsia="Batang" w:cs="Arial"/>
          <w:kern w:val="2"/>
          <w:sz w:val="18"/>
          <w:szCs w:val="18"/>
          <w:lang w:val="es-ES_tradnl" w:eastAsia="es-ES"/>
        </w:rPr>
      </w:pPr>
      <w:r>
        <w:rPr>
          <w:rFonts w:cs="Arial" w:ascii="Arial" w:hAnsi="Arial"/>
          <w:b/>
          <w:i/>
          <w:sz w:val="18"/>
          <w:szCs w:val="18"/>
          <w:u w:val="single"/>
        </w:rPr>
        <w:t>Desayuno.</w:t>
      </w:r>
      <w:r>
        <w:rPr>
          <w:rFonts w:cs="Arial" w:ascii="Arial" w:hAnsi="Arial"/>
          <w:sz w:val="18"/>
          <w:szCs w:val="18"/>
        </w:rPr>
        <w:t xml:space="preserve"> </w:t>
      </w:r>
      <w:r>
        <w:rPr>
          <w:rFonts w:eastAsia="Batang" w:cs="Arial" w:ascii="Arial" w:hAnsi="Arial"/>
          <w:kern w:val="2"/>
          <w:sz w:val="18"/>
          <w:szCs w:val="18"/>
          <w:lang w:val="es-ES_tradnl" w:eastAsia="es-ES"/>
        </w:rPr>
        <w:t xml:space="preserve">Muy temprano iniciamos el viaje a la comunidad de Palcoyo que tomara un tiempo de 3 horas a 3 horas y 30 minutos, para llegar al punto de inicio de nuestro recorrido. El punto de inicio de la caminata se encuentra ubicado a 4800 msnm desde donde iniciaremos una caminata de 30 minutos hasta el primer mirador ubicado a 4900 msnm. Allí es donde podemos observar y explicar la cordillera de Palcoyo por unos 30 minutos de tiempo libre para tomar fotos y explorar tan magnifica zona. Al regreso de nuestra caminata realizaremos la visita del bosque de piedras para luego retornar al punto de inicio de nuestra caminata. Abordaremos nuestra unidad vehicular para dirigirnos de regreso al distrito de Checacupe, donde tendremos un exquisito </w:t>
      </w:r>
      <w:r>
        <w:rPr>
          <w:rFonts w:eastAsia="Batang" w:cs="Arial" w:ascii="Arial" w:hAnsi="Arial"/>
          <w:b/>
          <w:i/>
          <w:kern w:val="2"/>
          <w:sz w:val="18"/>
          <w:szCs w:val="18"/>
          <w:u w:val="single"/>
          <w:lang w:val="es-ES_tradnl" w:eastAsia="es-ES"/>
        </w:rPr>
        <w:t>almuerzo</w:t>
      </w:r>
      <w:r>
        <w:rPr>
          <w:rFonts w:eastAsia="Batang" w:cs="Arial" w:ascii="Arial" w:hAnsi="Arial"/>
          <w:kern w:val="2"/>
          <w:sz w:val="18"/>
          <w:szCs w:val="18"/>
          <w:lang w:val="es-ES_tradnl" w:eastAsia="es-ES"/>
        </w:rPr>
        <w:t xml:space="preserve">. Posteriormente del almuerzo regreso a Cusco aproximadamente a las 18.00hrs. Alojamiento </w:t>
      </w:r>
      <w:r>
        <w:rPr>
          <w:rFonts w:eastAsia="Batang" w:cs="Arial" w:ascii="Arial" w:hAnsi="Arial"/>
          <w:kern w:val="2"/>
          <w:sz w:val="18"/>
          <w:szCs w:val="18"/>
          <w:lang w:val="es-ES_tradnl" w:eastAsia="es-ES"/>
        </w:rPr>
        <w:t>en Cusco.</w:t>
      </w:r>
    </w:p>
    <w:p>
      <w:pPr>
        <w:pStyle w:val="Normal"/>
        <w:spacing w:lineRule="auto" w:line="240" w:before="0" w:after="0"/>
        <w:jc w:val="both"/>
        <w:rPr>
          <w:rFonts w:ascii="Arial" w:hAnsi="Arial" w:eastAsia="Batang" w:cs="Arial"/>
          <w:b/>
          <w:b/>
          <w:i/>
          <w:i/>
          <w:color w:val="262626" w:themeColor="text1" w:themeTint="d9"/>
          <w:kern w:val="2"/>
          <w:sz w:val="18"/>
          <w:szCs w:val="18"/>
          <w:lang w:val="es-ES_tradnl" w:eastAsia="es-ES"/>
        </w:rPr>
      </w:pPr>
      <w:r>
        <w:rPr>
          <w:rFonts w:eastAsia="Batang" w:cs="Arial" w:ascii="Arial" w:hAnsi="Arial"/>
          <w:b/>
          <w:i/>
          <w:color w:val="262626" w:themeColor="text1" w:themeTint="d9"/>
          <w:kern w:val="2"/>
          <w:sz w:val="18"/>
          <w:szCs w:val="18"/>
          <w:lang w:val="es-ES_tradnl" w:eastAsia="es-ES"/>
        </w:rPr>
      </w:r>
    </w:p>
    <w:p>
      <w:pPr>
        <w:pStyle w:val="Normal"/>
        <w:spacing w:lineRule="auto" w:line="240" w:before="0" w:after="0"/>
        <w:jc w:val="both"/>
        <w:rPr>
          <w:rFonts w:ascii="Arial" w:hAnsi="Arial" w:eastAsia="Batang" w:cs="Arial"/>
          <w:bCs/>
          <w:i/>
          <w:i/>
          <w:color w:val="262626" w:themeColor="text1" w:themeTint="d9"/>
          <w:kern w:val="2"/>
          <w:sz w:val="18"/>
          <w:szCs w:val="18"/>
          <w:lang w:val="es-ES_tradnl" w:eastAsia="es-ES"/>
        </w:rPr>
      </w:pPr>
      <w:r>
        <w:rPr>
          <w:rFonts w:eastAsia="Batang" w:cs="Arial" w:ascii="Arial" w:hAnsi="Arial"/>
          <w:bCs/>
          <w:i/>
          <w:color w:val="262626" w:themeColor="text1" w:themeTint="d9"/>
          <w:kern w:val="2"/>
          <w:sz w:val="18"/>
          <w:szCs w:val="18"/>
          <w:lang w:val="es-ES_tradnl" w:eastAsia="es-ES"/>
        </w:rPr>
        <w:t>Nota importante: Tiempos de inicio y término están sujetos a variación por operatividad (servicio regular). *Tiempo de caminatas son aproximadas y sujetas a operatividad y condición física del pasajero.    El esfuerzo físico y el tiempo que se necesita para llegar a Palcoyo es mucho menor que el que se necesita para llegar a Vinicunca, la Cordillera de Colores Palcoyo es que es una excelente alternativa para aquellos que no pueden o no quieren agotarse físicamente para observar el mismo paisaje que observarían en Vinicunca.</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Día 6    Cusco</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b/>
          <w:i/>
          <w:kern w:val="2"/>
          <w:sz w:val="18"/>
          <w:szCs w:val="18"/>
          <w:u w:val="single"/>
          <w:lang w:val="es-ES_tradnl" w:eastAsia="es-ES"/>
        </w:rPr>
        <w:t>Desayuno.</w:t>
      </w:r>
      <w:r>
        <w:rPr>
          <w:rFonts w:eastAsia="Batang" w:cs="Arial" w:ascii="Arial" w:hAnsi="Arial"/>
          <w:kern w:val="2"/>
          <w:sz w:val="18"/>
          <w:szCs w:val="18"/>
          <w:lang w:val="es-ES_tradnl" w:eastAsia="es-ES"/>
        </w:rPr>
        <w:t xml:space="preserve"> A la hora coordinada traslado al aeropuerto para abordar su vuelo de salida</w:t>
      </w:r>
    </w:p>
    <w:p>
      <w:pPr>
        <w:pStyle w:val="NoSpacing"/>
        <w:jc w:val="both"/>
        <w:rPr>
          <w:rFonts w:ascii="Arial" w:hAnsi="Arial" w:cs="Arial"/>
          <w:b/>
          <w:b/>
          <w:color w:val="000000"/>
          <w:sz w:val="18"/>
          <w:szCs w:val="18"/>
          <w:lang w:val="es-ES_tradnl" w:eastAsia="es-ES"/>
        </w:rPr>
      </w:pPr>
      <w:r>
        <w:rPr>
          <w:rFonts w:cs="Arial" w:ascii="Arial" w:hAnsi="Arial"/>
          <w:b/>
          <w:color w:val="000000"/>
          <w:sz w:val="18"/>
          <w:szCs w:val="18"/>
          <w:lang w:val="es-ES_tradnl" w:eastAsia="es-ES"/>
        </w:rPr>
      </w:r>
    </w:p>
    <w:p>
      <w:pPr>
        <w:pStyle w:val="NoSpacing"/>
        <w:ind w:left="4956" w:firstLine="708"/>
        <w:jc w:val="right"/>
        <w:rPr>
          <w:rFonts w:ascii="Arial" w:hAnsi="Arial" w:cs="Arial"/>
          <w:b/>
          <w:b/>
          <w:color w:val="E36C0A" w:themeColor="accent6" w:themeShade="bf"/>
          <w:sz w:val="18"/>
          <w:szCs w:val="18"/>
          <w:lang w:val="es-ES_tradnl" w:eastAsia="es-ES"/>
        </w:rPr>
      </w:pPr>
      <w:r>
        <w:rPr>
          <w:rFonts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PE" w:eastAsia="es-ES"/>
        </w:rPr>
      </w:pPr>
      <w:r>
        <w:rPr>
          <w:rFonts w:eastAsia="Times New Roman" w:cs="Arial" w:ascii="Arial" w:hAnsi="Arial"/>
          <w:b/>
          <w:color w:val="E36C0A" w:themeColor="accent6" w:themeShade="bf"/>
          <w:sz w:val="18"/>
          <w:szCs w:val="18"/>
          <w:u w:val="single"/>
          <w:lang w:val="es-PE" w:eastAsia="es-ES"/>
        </w:rPr>
      </w:r>
    </w:p>
    <w:p>
      <w:pPr>
        <w:pStyle w:val="Normal"/>
        <w:spacing w:lineRule="auto" w:line="240" w:before="0" w:after="0"/>
        <w:rPr>
          <w:rFonts w:ascii="Arial" w:hAnsi="Arial" w:eastAsia="Times New Roman" w:cs="Arial"/>
          <w:b/>
          <w:b/>
          <w:color w:val="E36C0A" w:themeColor="accent6" w:themeShade="bf"/>
          <w:sz w:val="12"/>
          <w:szCs w:val="12"/>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br/>
      </w:r>
    </w:p>
    <w:tbl>
      <w:tblPr>
        <w:tblW w:w="765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52"/>
        <w:gridCol w:w="3144"/>
        <w:gridCol w:w="3054"/>
      </w:tblGrid>
      <w:tr>
        <w:trPr>
          <w:trHeight w:val="454" w:hRule="atLeast"/>
        </w:trPr>
        <w:tc>
          <w:tcPr>
            <w:tcW w:w="1452"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bookmarkStart w:id="0" w:name="_Hlk149059774"/>
            <w:bookmarkEnd w:id="0"/>
            <w:r>
              <w:rPr>
                <w:rFonts w:eastAsia="Times New Roman" w:cs="Arial" w:ascii="Arial" w:hAnsi="Arial"/>
                <w:b/>
                <w:bCs/>
                <w:color w:val="FFFFFF"/>
                <w:sz w:val="18"/>
                <w:szCs w:val="18"/>
                <w:lang w:eastAsia="es-ES"/>
              </w:rPr>
              <w:t>CATEGORÍA</w:t>
            </w:r>
          </w:p>
        </w:tc>
        <w:tc>
          <w:tcPr>
            <w:tcW w:w="314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val="es-PE" w:eastAsia="es-ES"/>
              </w:rPr>
              <w:t>LIMA</w:t>
            </w:r>
          </w:p>
        </w:tc>
        <w:tc>
          <w:tcPr>
            <w:tcW w:w="305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val="es-PE" w:eastAsia="es-ES"/>
              </w:rPr>
              <w:t>CUSCO</w:t>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Turista</w:t>
            </w:r>
          </w:p>
        </w:tc>
        <w:tc>
          <w:tcPr>
            <w:tcW w:w="31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Los Tambo ( I y II ) </w:t>
            </w:r>
            <w:r>
              <w:rPr>
                <w:rFonts w:eastAsia="Times New Roman" w:cs="Arial" w:ascii="Arial" w:hAnsi="Arial"/>
                <w:color w:val="000000"/>
                <w:sz w:val="18"/>
                <w:szCs w:val="18"/>
                <w:lang w:val="es-PE" w:eastAsia="es-ES"/>
              </w:rPr>
              <w:t xml:space="preserve">| </w:t>
            </w:r>
          </w:p>
          <w:p>
            <w:pPr>
              <w:pStyle w:val="Normal"/>
              <w:widowControl w:val="false"/>
              <w:spacing w:lineRule="auto" w:line="240" w:before="0" w:after="0"/>
              <w:jc w:val="center"/>
              <w:rPr>
                <w:rFonts w:eastAsia="Times New Roman"/>
                <w:color w:val="000000"/>
                <w:sz w:val="16"/>
                <w:szCs w:val="16"/>
                <w:lang w:val="es-PE" w:eastAsia="en-US"/>
              </w:rPr>
            </w:pPr>
            <w:r>
              <w:rPr>
                <w:rFonts w:eastAsia="Times New Roman" w:cs="Arial" w:ascii="Arial" w:hAnsi="Arial"/>
                <w:color w:val="000000"/>
                <w:sz w:val="16"/>
                <w:szCs w:val="16"/>
                <w:lang w:val="es-PE" w:eastAsia="en-US"/>
              </w:rPr>
              <w:t xml:space="preserve">Habitat Miraflores </w:t>
            </w:r>
            <w:r>
              <w:rPr>
                <w:rFonts w:eastAsia="Times New Roman" w:cs="Arial" w:ascii="Arial" w:hAnsi="Arial"/>
                <w:color w:val="000000"/>
                <w:sz w:val="18"/>
                <w:szCs w:val="18"/>
                <w:lang w:val="es-PE" w:eastAsia="es-ES"/>
              </w:rPr>
              <w:t xml:space="preserve">|  </w:t>
            </w:r>
            <w:r>
              <w:rPr>
                <w:rFonts w:eastAsia="Times New Roman" w:cs="Arial" w:ascii="Arial" w:hAnsi="Arial"/>
                <w:color w:val="000000"/>
                <w:sz w:val="16"/>
                <w:szCs w:val="16"/>
                <w:lang w:val="es-PE" w:eastAsia="en-US"/>
              </w:rPr>
              <w:t>Britania Crystal</w:t>
            </w:r>
          </w:p>
        </w:tc>
        <w:tc>
          <w:tcPr>
            <w:tcW w:w="305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Hacienda Plaza Regocijo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Inkarri Regocijo</w:t>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Turista Superior</w:t>
            </w:r>
          </w:p>
        </w:tc>
        <w:tc>
          <w:tcPr>
            <w:tcW w:w="31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Tierra Viva Miraflores Centro | Casa Andina Select Miraflores | Tierra Viva Larco</w:t>
            </w:r>
          </w:p>
        </w:tc>
        <w:tc>
          <w:tcPr>
            <w:tcW w:w="305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 </w:t>
            </w:r>
            <w:r>
              <w:rPr>
                <w:rFonts w:eastAsia="Times New Roman" w:cs="Arial" w:ascii="Arial" w:hAnsi="Arial"/>
                <w:color w:val="000000"/>
                <w:sz w:val="18"/>
                <w:szCs w:val="18"/>
                <w:lang w:val="es-PE"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Tierra Viva Cusco Centro</w:t>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Primera</w:t>
            </w:r>
          </w:p>
        </w:tc>
        <w:tc>
          <w:tcPr>
            <w:tcW w:w="31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Jose Antonio Lima Miraflores</w:t>
              <w:br/>
              <w:t xml:space="preserve"> | Fairfield By Marriott</w:t>
            </w:r>
          </w:p>
        </w:tc>
        <w:tc>
          <w:tcPr>
            <w:tcW w:w="305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La Hacienda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 xml:space="preserve">José Antonio Cusco </w:t>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Primera Superior</w:t>
            </w:r>
          </w:p>
        </w:tc>
        <w:tc>
          <w:tcPr>
            <w:tcW w:w="31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José Antonio Deluxe | Innside by Melia </w:t>
            </w:r>
          </w:p>
        </w:tc>
        <w:tc>
          <w:tcPr>
            <w:tcW w:w="305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Costa del Sol Ramada Cusco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Hilton Garden Inn</w:t>
            </w:r>
          </w:p>
        </w:tc>
      </w:tr>
      <w:tr>
        <w:trPr>
          <w:trHeight w:val="454" w:hRule="atLeast"/>
        </w:trPr>
        <w:tc>
          <w:tcPr>
            <w:tcW w:w="1452"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val="es-PE" w:eastAsia="es-ES"/>
              </w:rPr>
              <w:t>Lujo</w:t>
            </w:r>
          </w:p>
        </w:tc>
        <w:tc>
          <w:tcPr>
            <w:tcW w:w="314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eastAsia="es-ES"/>
              </w:rPr>
            </w:pPr>
            <w:r>
              <w:rPr>
                <w:rFonts w:eastAsia="Times New Roman" w:cs="Arial" w:ascii="Arial" w:hAnsi="Arial"/>
                <w:color w:val="000000"/>
                <w:sz w:val="18"/>
                <w:szCs w:val="18"/>
                <w:lang w:val="es-PE" w:eastAsia="es-ES"/>
              </w:rPr>
              <w:t xml:space="preserve">Iberostar Sellection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Pullman Miraflores</w:t>
            </w:r>
          </w:p>
        </w:tc>
        <w:tc>
          <w:tcPr>
            <w:tcW w:w="305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eastAsia="es-ES"/>
              </w:rPr>
              <w:t>Aranwa Cusco</w:t>
            </w:r>
          </w:p>
        </w:tc>
      </w:tr>
    </w:tbl>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08"/>
          <w:tab w:val="left" w:pos="1440" w:leader="none"/>
        </w:tabs>
        <w:spacing w:lineRule="auto" w:line="240" w:before="0" w:after="0"/>
        <w:jc w:val="both"/>
        <w:rPr>
          <w:rFonts w:ascii="Arial" w:hAnsi="Arial" w:eastAsia="Times New Roman" w:cs="Arial"/>
          <w:b/>
          <w:b/>
          <w:color w:val="000000"/>
          <w:sz w:val="18"/>
          <w:szCs w:val="18"/>
          <w:u w:val="single"/>
          <w:lang w:val="es-MX" w:eastAsia="es-ES"/>
        </w:rPr>
      </w:pPr>
      <w:r>
        <w:rPr>
          <w:rFonts w:eastAsia="Times New Roman" w:cs="Arial" w:ascii="Arial" w:hAnsi="Arial"/>
          <w:b/>
          <w:color w:val="000000"/>
          <w:sz w:val="18"/>
          <w:szCs w:val="18"/>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p>
      <w:pPr>
        <w:pStyle w:val="Normal"/>
        <w:spacing w:lineRule="auto" w:line="240" w:before="0" w:after="0"/>
        <w:rPr>
          <w:rFonts w:ascii="Arial" w:hAnsi="Arial" w:eastAsia="Times New Roman" w:cs="Arial"/>
          <w:b/>
          <w:b/>
          <w:color w:val="E36C0A" w:themeColor="accent6" w:themeShade="bf"/>
          <w:sz w:val="8"/>
          <w:szCs w:val="8"/>
          <w:u w:val="single"/>
          <w:lang w:val="es-ES_tradnl" w:eastAsia="es-ES"/>
        </w:rPr>
      </w:pPr>
      <w:r>
        <w:rPr>
          <w:rFonts w:eastAsia="Times New Roman" w:cs="Arial" w:ascii="Arial" w:hAnsi="Arial"/>
          <w:b/>
          <w:color w:val="E36C0A" w:themeColor="accent6" w:themeShade="bf"/>
          <w:sz w:val="8"/>
          <w:szCs w:val="8"/>
          <w:u w:val="single"/>
          <w:lang w:val="es-ES_tradnl" w:eastAsia="es-ES"/>
        </w:rPr>
      </w:r>
    </w:p>
    <w:p>
      <w:pPr>
        <w:pStyle w:val="Normal"/>
        <w:spacing w:lineRule="auto" w:line="240" w:before="0" w:after="0"/>
        <w:rPr>
          <w:rFonts w:ascii="Arial" w:hAnsi="Arial" w:eastAsia="Times New Roman" w:cs="Arial"/>
          <w:b/>
          <w:b/>
          <w:color w:val="E36C0A" w:themeColor="accent6" w:themeShade="bf"/>
          <w:sz w:val="6"/>
          <w:szCs w:val="6"/>
          <w:u w:val="single"/>
          <w:lang w:val="es-ES_tradnl" w:eastAsia="es-ES"/>
        </w:rPr>
      </w:pPr>
      <w:r>
        <w:rPr>
          <w:rFonts w:eastAsia="Times New Roman" w:cs="Arial" w:ascii="Arial" w:hAnsi="Arial"/>
          <w:b/>
          <w:color w:val="E36C0A" w:themeColor="accent6" w:themeShade="bf"/>
          <w:sz w:val="6"/>
          <w:szCs w:val="6"/>
          <w:u w:val="single"/>
          <w:lang w:val="es-ES_tradnl" w:eastAsia="es-ES"/>
        </w:rPr>
      </w:r>
    </w:p>
    <w:tbl>
      <w:tblPr>
        <w:tblW w:w="935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38"/>
        <w:gridCol w:w="1275"/>
        <w:gridCol w:w="1277"/>
        <w:gridCol w:w="1274"/>
        <w:gridCol w:w="1208"/>
        <w:gridCol w:w="1202"/>
        <w:gridCol w:w="1276"/>
      </w:tblGrid>
      <w:tr>
        <w:trPr>
          <w:trHeight w:val="397" w:hRule="atLeast"/>
        </w:trPr>
        <w:tc>
          <w:tcPr>
            <w:tcW w:w="1838" w:type="dxa"/>
            <w:tcBorders>
              <w:left w:val="single" w:sz="4" w:space="0" w:color="E36C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275" w:type="dxa"/>
            <w:tcBorders>
              <w:left w:val="single" w:sz="4" w:space="0" w:color="E36C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277"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7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08"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02"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6"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97" w:hRule="atLeast"/>
        </w:trPr>
        <w:tc>
          <w:tcPr>
            <w:tcW w:w="1838" w:type="dxa"/>
            <w:vMerge w:val="restart"/>
            <w:tcBorders>
              <w:top w:val="single" w:sz="4" w:space="0" w:color="E26B0A"/>
              <w:left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br/>
              <w:t>06/01/25 – 31/03/25</w:t>
            </w:r>
          </w:p>
        </w:tc>
        <w:tc>
          <w:tcPr>
            <w:tcW w:w="1275" w:type="dxa"/>
            <w:tcBorders>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277" w:type="dxa"/>
            <w:tcBorders>
              <w:left w:val="single" w:sz="4" w:space="0" w:color="E36C0A"/>
              <w:bottom w:val="single" w:sz="4" w:space="0" w:color="E36C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1,041</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855</w:t>
            </w:r>
          </w:p>
        </w:tc>
        <w:tc>
          <w:tcPr>
            <w:tcW w:w="1208"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805</w:t>
            </w:r>
          </w:p>
        </w:tc>
        <w:tc>
          <w:tcPr>
            <w:tcW w:w="120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559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1,166</w:t>
            </w:r>
          </w:p>
        </w:tc>
      </w:tr>
      <w:tr>
        <w:trPr>
          <w:trHeight w:val="397" w:hRule="atLeast"/>
        </w:trPr>
        <w:tc>
          <w:tcPr>
            <w:tcW w:w="1838" w:type="dxa"/>
            <w:vMerge w:val="continue"/>
            <w:tcBorders>
              <w:left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5"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277" w:type="dxa"/>
            <w:tcBorders>
              <w:top w:val="single" w:sz="4" w:space="0" w:color="E36C0A"/>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1,147</w:t>
            </w:r>
          </w:p>
        </w:tc>
        <w:tc>
          <w:tcPr>
            <w:tcW w:w="127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898</w:t>
            </w:r>
          </w:p>
        </w:tc>
        <w:tc>
          <w:tcPr>
            <w:tcW w:w="1208"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841</w:t>
            </w:r>
          </w:p>
        </w:tc>
        <w:tc>
          <w:tcPr>
            <w:tcW w:w="120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595</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1,272</w:t>
            </w:r>
          </w:p>
        </w:tc>
      </w:tr>
      <w:tr>
        <w:trPr>
          <w:trHeight w:val="397" w:hRule="atLeast"/>
        </w:trPr>
        <w:tc>
          <w:tcPr>
            <w:tcW w:w="1838" w:type="dxa"/>
            <w:vMerge w:val="continue"/>
            <w:tcBorders>
              <w:left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5"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27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1,213</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940</w:t>
            </w:r>
          </w:p>
        </w:tc>
        <w:tc>
          <w:tcPr>
            <w:tcW w:w="1208"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888</w:t>
            </w:r>
          </w:p>
        </w:tc>
        <w:tc>
          <w:tcPr>
            <w:tcW w:w="120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644</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1,338</w:t>
            </w:r>
          </w:p>
        </w:tc>
      </w:tr>
      <w:tr>
        <w:trPr>
          <w:trHeight w:val="397" w:hRule="atLeast"/>
        </w:trPr>
        <w:tc>
          <w:tcPr>
            <w:tcW w:w="1838" w:type="dxa"/>
            <w:vMerge w:val="continue"/>
            <w:tcBorders>
              <w:left w:val="single" w:sz="4" w:space="0" w:color="E36C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5"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277"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1,304</w:t>
            </w:r>
          </w:p>
        </w:tc>
        <w:tc>
          <w:tcPr>
            <w:tcW w:w="127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1,001</w:t>
            </w:r>
          </w:p>
        </w:tc>
        <w:tc>
          <w:tcPr>
            <w:tcW w:w="1208"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925</w:t>
            </w:r>
          </w:p>
        </w:tc>
        <w:tc>
          <w:tcPr>
            <w:tcW w:w="120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680</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1,429</w:t>
            </w:r>
          </w:p>
        </w:tc>
      </w:tr>
      <w:tr>
        <w:trPr>
          <w:trHeight w:val="397" w:hRule="atLeast"/>
        </w:trPr>
        <w:tc>
          <w:tcPr>
            <w:tcW w:w="1838" w:type="dxa"/>
            <w:vMerge w:val="continue"/>
            <w:tcBorders>
              <w:left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5" w:type="dxa"/>
            <w:tcBorders>
              <w:top w:val="single" w:sz="4" w:space="0" w:color="E36C0A"/>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b/>
                <w:bCs/>
                <w:color w:val="000000"/>
                <w:sz w:val="18"/>
                <w:szCs w:val="18"/>
                <w:lang w:eastAsia="es-ES"/>
              </w:rPr>
              <w:t>Lujo</w:t>
            </w:r>
          </w:p>
        </w:tc>
        <w:tc>
          <w:tcPr>
            <w:tcW w:w="127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1,879</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1,273</w:t>
            </w:r>
          </w:p>
        </w:tc>
        <w:tc>
          <w:tcPr>
            <w:tcW w:w="1208"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1,147</w:t>
            </w:r>
          </w:p>
        </w:tc>
        <w:tc>
          <w:tcPr>
            <w:tcW w:w="120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900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color w:val="000000"/>
                <w:sz w:val="18"/>
                <w:szCs w:val="18"/>
                <w:lang w:eastAsia="es-ES"/>
              </w:rPr>
              <w:t>USD 2,004</w:t>
            </w:r>
          </w:p>
        </w:tc>
      </w:tr>
      <w:tr>
        <w:trPr>
          <w:trHeight w:val="397" w:hRule="atLeast"/>
        </w:trPr>
        <w:tc>
          <w:tcPr>
            <w:tcW w:w="1838" w:type="dxa"/>
            <w:vMerge w:val="restart"/>
            <w:tcBorders>
              <w:left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31/07/25 – 31/10/25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05/01/26 - 31/03/26</w:t>
            </w:r>
          </w:p>
        </w:tc>
        <w:tc>
          <w:tcPr>
            <w:tcW w:w="1275"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b/>
                <w:bCs/>
                <w:color w:val="000000"/>
                <w:sz w:val="18"/>
                <w:szCs w:val="18"/>
                <w:lang w:eastAsia="es-ES"/>
              </w:rPr>
              <w:t>Turista</w:t>
            </w:r>
          </w:p>
        </w:tc>
        <w:tc>
          <w:tcPr>
            <w:tcW w:w="127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1,094</w:t>
            </w:r>
          </w:p>
        </w:tc>
        <w:tc>
          <w:tcPr>
            <w:tcW w:w="1274" w:type="dxa"/>
            <w:tcBorders>
              <w:bottom w:val="single" w:sz="4" w:space="0" w:color="E26B0A"/>
              <w:right w:val="single" w:sz="4" w:space="0" w:color="E26B0A"/>
            </w:tcBorders>
            <w:shd w:fill="FFFFFF" w:val="clear"/>
            <w:vAlign w:val="center"/>
          </w:tcPr>
          <w:p>
            <w:pPr>
              <w:pStyle w:val="Normal"/>
              <w:spacing w:before="0" w:after="200"/>
              <w:jc w:val="center"/>
              <w:rPr>
                <w:rFonts w:ascii="Arial" w:hAnsi="Arial"/>
                <w:sz w:val="18"/>
                <w:szCs w:val="18"/>
              </w:rPr>
            </w:pPr>
            <w:r>
              <w:rPr>
                <w:rFonts w:ascii="Arial" w:hAnsi="Arial"/>
                <w:sz w:val="18"/>
                <w:szCs w:val="18"/>
              </w:rPr>
              <w:t>USD 879</w:t>
            </w:r>
          </w:p>
        </w:tc>
        <w:tc>
          <w:tcPr>
            <w:tcW w:w="1208" w:type="dxa"/>
            <w:tcBorders>
              <w:bottom w:val="single" w:sz="4" w:space="0" w:color="E26B0A"/>
              <w:right w:val="single" w:sz="4" w:space="0" w:color="E26B0A"/>
            </w:tcBorders>
            <w:shd w:fill="FFFFFF" w:val="clear"/>
            <w:vAlign w:val="center"/>
          </w:tcPr>
          <w:p>
            <w:pPr>
              <w:pStyle w:val="Normal"/>
              <w:spacing w:before="0" w:after="200"/>
              <w:jc w:val="center"/>
              <w:rPr>
                <w:rFonts w:ascii="Arial" w:hAnsi="Arial"/>
                <w:sz w:val="18"/>
                <w:szCs w:val="18"/>
              </w:rPr>
            </w:pPr>
            <w:r>
              <w:rPr>
                <w:rFonts w:ascii="Arial" w:hAnsi="Arial"/>
                <w:sz w:val="18"/>
                <w:szCs w:val="18"/>
              </w:rPr>
              <w:t>USD 829</w:t>
            </w:r>
          </w:p>
        </w:tc>
        <w:tc>
          <w:tcPr>
            <w:tcW w:w="1202" w:type="dxa"/>
            <w:tcBorders>
              <w:bottom w:val="single" w:sz="4" w:space="0" w:color="E26B0A"/>
              <w:right w:val="single" w:sz="4" w:space="0" w:color="E26B0A"/>
            </w:tcBorders>
            <w:shd w:fill="FFFFFF" w:val="clear"/>
            <w:vAlign w:val="center"/>
          </w:tcPr>
          <w:p>
            <w:pPr>
              <w:pStyle w:val="Normal"/>
              <w:spacing w:before="0" w:after="200"/>
              <w:jc w:val="center"/>
              <w:rPr>
                <w:rFonts w:ascii="Arial" w:hAnsi="Arial"/>
                <w:sz w:val="18"/>
                <w:szCs w:val="18"/>
              </w:rPr>
            </w:pPr>
            <w:r>
              <w:rPr>
                <w:rFonts w:ascii="Arial" w:hAnsi="Arial"/>
                <w:sz w:val="18"/>
                <w:szCs w:val="18"/>
              </w:rPr>
              <w:t>USD 608</w:t>
            </w:r>
          </w:p>
        </w:tc>
        <w:tc>
          <w:tcPr>
            <w:tcW w:w="1276" w:type="dxa"/>
            <w:tcBorders>
              <w:bottom w:val="single" w:sz="4" w:space="0" w:color="E26B0A"/>
              <w:right w:val="single" w:sz="4" w:space="0" w:color="E26B0A"/>
            </w:tcBorders>
            <w:shd w:fill="FFFFFF" w:val="clear"/>
            <w:vAlign w:val="center"/>
          </w:tcPr>
          <w:p>
            <w:pPr>
              <w:pStyle w:val="Normal"/>
              <w:spacing w:before="0" w:after="200"/>
              <w:jc w:val="center"/>
              <w:rPr>
                <w:rFonts w:ascii="Arial" w:hAnsi="Arial"/>
                <w:sz w:val="18"/>
                <w:szCs w:val="18"/>
              </w:rPr>
            </w:pPr>
            <w:r>
              <w:rPr>
                <w:rFonts w:ascii="Arial" w:hAnsi="Arial"/>
                <w:sz w:val="18"/>
                <w:szCs w:val="18"/>
              </w:rPr>
              <w:t>USD 1,288</w:t>
            </w:r>
          </w:p>
        </w:tc>
      </w:tr>
      <w:tr>
        <w:trPr>
          <w:trHeight w:val="397" w:hRule="atLeast"/>
        </w:trPr>
        <w:tc>
          <w:tcPr>
            <w:tcW w:w="1838" w:type="dxa"/>
            <w:vMerge w:val="continue"/>
            <w:tcBorders>
              <w:left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5"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b/>
                <w:bCs/>
                <w:color w:val="000000"/>
                <w:sz w:val="18"/>
                <w:szCs w:val="18"/>
                <w:lang w:eastAsia="es-ES"/>
              </w:rPr>
              <w:t>Turista Superior</w:t>
            </w:r>
          </w:p>
        </w:tc>
        <w:tc>
          <w:tcPr>
            <w:tcW w:w="127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1,159</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932</w:t>
            </w:r>
          </w:p>
        </w:tc>
        <w:tc>
          <w:tcPr>
            <w:tcW w:w="1208"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845</w:t>
            </w:r>
          </w:p>
        </w:tc>
        <w:tc>
          <w:tcPr>
            <w:tcW w:w="120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625</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1,354</w:t>
            </w:r>
          </w:p>
        </w:tc>
      </w:tr>
      <w:tr>
        <w:trPr>
          <w:trHeight w:val="397" w:hRule="atLeast"/>
        </w:trPr>
        <w:tc>
          <w:tcPr>
            <w:tcW w:w="1838" w:type="dxa"/>
            <w:vMerge w:val="continue"/>
            <w:tcBorders>
              <w:left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5"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b/>
                <w:bCs/>
                <w:color w:val="000000"/>
                <w:sz w:val="18"/>
                <w:szCs w:val="18"/>
                <w:lang w:eastAsia="es-ES"/>
              </w:rPr>
              <w:t>Primera</w:t>
            </w:r>
          </w:p>
        </w:tc>
        <w:tc>
          <w:tcPr>
            <w:tcW w:w="127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1,245</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948</w:t>
            </w:r>
          </w:p>
        </w:tc>
        <w:tc>
          <w:tcPr>
            <w:tcW w:w="1208"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890</w:t>
            </w:r>
          </w:p>
        </w:tc>
        <w:tc>
          <w:tcPr>
            <w:tcW w:w="1202"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669</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1,440</w:t>
            </w:r>
          </w:p>
        </w:tc>
      </w:tr>
      <w:tr>
        <w:trPr>
          <w:trHeight w:val="397" w:hRule="atLeast"/>
        </w:trPr>
        <w:tc>
          <w:tcPr>
            <w:tcW w:w="1838" w:type="dxa"/>
            <w:vMerge w:val="continue"/>
            <w:tcBorders>
              <w:left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5"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b/>
                <w:bCs/>
                <w:color w:val="000000"/>
                <w:sz w:val="18"/>
                <w:szCs w:val="18"/>
                <w:lang w:eastAsia="es-ES"/>
              </w:rPr>
              <w:t>Primera Superior</w:t>
            </w:r>
          </w:p>
        </w:tc>
        <w:tc>
          <w:tcPr>
            <w:tcW w:w="127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1,354</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1,030</w:t>
            </w:r>
          </w:p>
        </w:tc>
        <w:tc>
          <w:tcPr>
            <w:tcW w:w="1208"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950</w:t>
            </w:r>
          </w:p>
        </w:tc>
        <w:tc>
          <w:tcPr>
            <w:tcW w:w="120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729</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1,548</w:t>
            </w:r>
          </w:p>
        </w:tc>
      </w:tr>
      <w:tr>
        <w:trPr>
          <w:trHeight w:val="397" w:hRule="atLeast"/>
        </w:trPr>
        <w:tc>
          <w:tcPr>
            <w:tcW w:w="1838" w:type="dxa"/>
            <w:vMerge w:val="continue"/>
            <w:tcBorders>
              <w:left w:val="single" w:sz="4" w:space="0" w:color="E36C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275"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sz w:val="18"/>
                <w:szCs w:val="18"/>
              </w:rPr>
            </w:pPr>
            <w:r>
              <w:rPr>
                <w:rFonts w:eastAsia="Times New Roman" w:cs="Arial" w:ascii="Arial" w:hAnsi="Arial"/>
                <w:b/>
                <w:bCs/>
                <w:color w:val="000000"/>
                <w:sz w:val="18"/>
                <w:szCs w:val="18"/>
                <w:lang w:eastAsia="es-ES"/>
              </w:rPr>
              <w:t>Lujo</w:t>
            </w:r>
          </w:p>
        </w:tc>
        <w:tc>
          <w:tcPr>
            <w:tcW w:w="127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1,866</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1,275</w:t>
            </w:r>
          </w:p>
        </w:tc>
        <w:tc>
          <w:tcPr>
            <w:tcW w:w="1208"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958</w:t>
            </w:r>
          </w:p>
        </w:tc>
        <w:tc>
          <w:tcPr>
            <w:tcW w:w="1202"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737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2,061</w:t>
            </w:r>
          </w:p>
        </w:tc>
      </w:tr>
    </w:tbl>
    <w:p>
      <w:pPr>
        <w:pStyle w:val="Normal"/>
        <w:spacing w:lineRule="auto" w:line="240" w:before="0" w:after="0"/>
        <w:rPr>
          <w:rFonts w:ascii="Arial" w:hAnsi="Arial" w:eastAsia="Times New Roman" w:cs="Arial"/>
          <w:b/>
          <w:b/>
          <w:color w:val="E36C0A" w:themeColor="accent6" w:themeShade="bf"/>
          <w:sz w:val="8"/>
          <w:szCs w:val="8"/>
          <w:u w:val="single"/>
          <w:lang w:val="es-ES_tradnl" w:eastAsia="es-ES"/>
        </w:rPr>
      </w:pPr>
      <w:r>
        <w:rPr>
          <w:rFonts w:eastAsia="Times New Roman" w:cs="Arial" w:ascii="Arial" w:hAnsi="Arial"/>
          <w:b/>
          <w:color w:val="E36C0A" w:themeColor="accent6" w:themeShade="bf"/>
          <w:sz w:val="8"/>
          <w:szCs w:val="8"/>
          <w:u w:val="single"/>
          <w:lang w:val="es-ES_tradnl" w:eastAsia="es-ES"/>
        </w:rPr>
      </w:r>
    </w:p>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000000" w:themeColor="text1"/>
          <w:sz w:val="18"/>
          <w:szCs w:val="18"/>
          <w:lang w:val="es-ES_tradnl" w:eastAsia="es-ES"/>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FF0000"/>
          <w:sz w:val="18"/>
          <w:szCs w:val="18"/>
          <w:lang w:val="es-ES_tradnl" w:eastAsia="es-ES"/>
        </w:rPr>
        <w:t xml:space="preserve">*PVS = </w:t>
      </w:r>
      <w:r>
        <w:rPr>
          <w:rFonts w:eastAsia="Times New Roman" w:cs="Arial" w:ascii="Arial" w:hAnsi="Arial"/>
          <w:b/>
          <w:i/>
          <w:iCs/>
          <w:color w:val="FF0000"/>
          <w:sz w:val="18"/>
          <w:szCs w:val="18"/>
          <w:u w:val="single"/>
          <w:lang w:val="es-ES_tradnl" w:eastAsia="es-ES"/>
        </w:rPr>
        <w:t>Tarifa para Pasajero Viajando Solo</w:t>
      </w:r>
      <w:r>
        <w:rPr>
          <w:rFonts w:eastAsia="Times New Roman" w:cs="Arial" w:ascii="Arial" w:hAnsi="Arial"/>
          <w:b/>
          <w:i/>
          <w:iCs/>
          <w:color w:val="FF0000"/>
          <w:sz w:val="18"/>
          <w:szCs w:val="18"/>
          <w:lang w:val="es-ES_tradnl" w:eastAsia="es-ES"/>
        </w:rPr>
        <w:t>,</w:t>
      </w:r>
      <w:r>
        <w:rPr>
          <w:rFonts w:eastAsia="Times New Roman" w:cs="Arial" w:ascii="Arial" w:hAnsi="Arial"/>
          <w:b/>
          <w:i/>
          <w:iCs/>
          <w:color w:val="000000" w:themeColor="text1"/>
          <w:sz w:val="18"/>
          <w:szCs w:val="18"/>
          <w:lang w:val="es-ES_tradnl" w:eastAsia="es-ES"/>
        </w:rPr>
        <w:t xml:space="preserve"> los servicios de tour y traslados continúan siendo en servicio regular.</w:t>
      </w:r>
    </w:p>
    <w:p>
      <w:pPr>
        <w:pStyle w:val="Normal"/>
        <w:spacing w:lineRule="auto" w:line="240" w:before="0" w:after="0"/>
        <w:jc w:val="both"/>
        <w:rPr>
          <w:rFonts w:ascii="Arial" w:hAnsi="Arial" w:eastAsia="Times New Roman" w:cs="Arial"/>
          <w:b/>
          <w:b/>
          <w:bCs/>
          <w:i/>
          <w:i/>
          <w:iCs/>
          <w:color w:val="C00000"/>
          <w:sz w:val="18"/>
          <w:szCs w:val="18"/>
          <w:lang w:val="es-ES_tradnl" w:eastAsia="es-ES"/>
        </w:rPr>
      </w:pPr>
      <w:r>
        <w:rPr>
          <w:rFonts w:cs="Arial" w:ascii="Arial" w:hAnsi="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Times New Roman" w:cs="Arial"/>
          <w:color w:val="000000" w:themeColor="text1"/>
          <w:sz w:val="18"/>
          <w:szCs w:val="10"/>
          <w:lang w:val="es-MX" w:eastAsia="es-ES"/>
        </w:rPr>
      </w:pPr>
      <w:r>
        <w:rPr>
          <w:rFonts w:eastAsia="Times New Roman" w:cs="Arial" w:ascii="Arial" w:hAnsi="Arial"/>
          <w:color w:val="000000" w:themeColor="text1"/>
          <w:sz w:val="18"/>
          <w:szCs w:val="10"/>
          <w:lang w:val="es-MX"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 aeropuerto – hotel – aeropuerto </w:t>
      </w:r>
      <w:r>
        <w:rPr>
          <w:rFonts w:cs="Arial" w:ascii="Arial" w:hAnsi="Arial"/>
          <w:b/>
          <w:i/>
          <w:sz w:val="18"/>
          <w:szCs w:val="18"/>
          <w:lang w:val="es-ES_tradnl" w:eastAsia="es-ES"/>
        </w:rPr>
        <w:t>en servicio privado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Lima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03 noches de alojamiento en Cusco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05 desayunos </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Tour Express en bicicleta</w:t>
      </w:r>
    </w:p>
    <w:p>
      <w:pPr>
        <w:pStyle w:val="ListParagraph"/>
        <w:widowControl w:val="false"/>
        <w:numPr>
          <w:ilvl w:val="0"/>
          <w:numId w:val="3"/>
        </w:numPr>
        <w:spacing w:lineRule="auto" w:line="240" w:before="0" w:after="0"/>
        <w:contextualSpacing/>
        <w:jc w:val="both"/>
        <w:textAlignment w:val="baseline"/>
        <w:rPr>
          <w:rFonts w:ascii="Arial" w:hAnsi="Arial" w:cs="Arial"/>
          <w:b/>
          <w:b/>
          <w:bCs/>
          <w:i/>
          <w:i/>
          <w:iCs/>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ListParagraph"/>
        <w:widowControl w:val="false"/>
        <w:numPr>
          <w:ilvl w:val="0"/>
          <w:numId w:val="3"/>
        </w:numPr>
        <w:spacing w:lineRule="auto" w:line="240" w:before="0" w:after="0"/>
        <w:contextualSpacing/>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Excursión a Machu Picchu con boleto de tren a Aguas Calientes </w:t>
      </w:r>
      <w:r>
        <w:rPr>
          <w:rFonts w:cs="Arial" w:ascii="Arial" w:hAnsi="Arial"/>
          <w:b/>
          <w:sz w:val="18"/>
          <w:szCs w:val="18"/>
          <w:lang w:val="es-ES_tradnl" w:eastAsia="es-ES"/>
        </w:rPr>
        <w:t>en Tren Expedition o Voyager</w:t>
      </w:r>
      <w:r>
        <w:rPr>
          <w:rFonts w:cs="Arial" w:ascii="Arial" w:hAnsi="Arial"/>
          <w:sz w:val="18"/>
          <w:szCs w:val="18"/>
          <w:lang w:val="es-ES_tradnl" w:eastAsia="es-ES"/>
        </w:rPr>
        <w:t xml:space="preserve"> </w:t>
      </w:r>
      <w:r>
        <w:rPr>
          <w:rFonts w:cs="Arial" w:ascii="Arial" w:hAnsi="Arial"/>
          <w:b/>
          <w:i/>
          <w:sz w:val="18"/>
          <w:szCs w:val="18"/>
          <w:lang w:val="es-ES_tradnl" w:eastAsia="es-ES"/>
        </w:rPr>
        <w:t>con almuerzo (no incluye bebidas)</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Excursión Caminata Palcoyo “Cordillera de colores” </w:t>
      </w:r>
      <w:r>
        <w:rPr>
          <w:rFonts w:cs="Arial" w:ascii="Arial" w:hAnsi="Arial"/>
          <w:b/>
          <w:i/>
          <w:sz w:val="18"/>
          <w:szCs w:val="18"/>
          <w:lang w:val="es-ES_tradnl" w:eastAsia="es-ES"/>
        </w:rPr>
        <w:t>con almuerzo (no incluye bebidas)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Guía de habla hispana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Souvenir de cortesía para cada pasajero</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Asistencia 24hrs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Lima – Cusco – Lima – México</w:t>
      </w:r>
    </w:p>
    <w:p>
      <w:pPr>
        <w:pStyle w:val="NoSpacing"/>
        <w:widowControl w:val="false"/>
        <w:numPr>
          <w:ilvl w:val="0"/>
          <w:numId w:val="1"/>
        </w:numPr>
        <w:jc w:val="both"/>
        <w:textAlignment w:val="baseline"/>
        <w:rPr>
          <w:rFonts w:ascii="Arial" w:hAnsi="Arial" w:cs="Arial"/>
          <w:sz w:val="18"/>
          <w:szCs w:val="18"/>
          <w:lang w:val="es-ES_tradnl" w:eastAsia="es-ES"/>
        </w:rPr>
      </w:pPr>
      <w:bookmarkStart w:id="1" w:name="_Hlk149061113"/>
      <w:r>
        <w:rPr>
          <w:rFonts w:cs="Arial" w:ascii="Arial" w:hAnsi="Arial"/>
          <w:sz w:val="18"/>
          <w:szCs w:val="18"/>
          <w:lang w:val="es-ES_tradnl" w:eastAsia="es-ES"/>
        </w:rPr>
        <w:t>TUA’s de salida (derechos de aeropuerto)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1"/>
        </w:numPr>
        <w:jc w:val="both"/>
        <w:textAlignment w:val="baseline"/>
        <w:rPr>
          <w:rFonts w:ascii="Arial" w:hAnsi="Arial" w:cs="Arial"/>
          <w:color w:val="FF0000"/>
          <w:sz w:val="18"/>
          <w:szCs w:val="18"/>
          <w:lang w:val="es-ES_tradnl" w:eastAsia="es-ES"/>
        </w:rPr>
      </w:pPr>
      <w:bookmarkStart w:id="2" w:name="_Hlk149061113"/>
      <w:r>
        <w:rPr>
          <w:rFonts w:cs="Arial" w:ascii="Arial" w:hAnsi="Arial"/>
          <w:sz w:val="18"/>
          <w:szCs w:val="18"/>
          <w:lang w:val="es-ES_tradnl" w:eastAsia="es-ES"/>
        </w:rPr>
        <w:t>Propinas para guía, chofer y maletero</w:t>
      </w:r>
      <w:bookmarkEnd w:id="2"/>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SUPLEMENTOS / SERVICIOS ADICIONALES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p>
      <w:pPr>
        <w:pStyle w:val="Normal"/>
        <w:spacing w:lineRule="auto" w:line="240" w:before="0" w:after="0"/>
        <w:ind w:firstLine="708"/>
        <w:jc w:val="center"/>
        <w:rPr>
          <w:rFonts w:ascii="Arial" w:hAnsi="Arial" w:eastAsia="Times New Roman" w:cs="Arial"/>
          <w:b/>
          <w:b/>
          <w:color w:val="000000" w:themeColor="text1"/>
          <w:sz w:val="14"/>
          <w:szCs w:val="14"/>
          <w:u w:val="single"/>
          <w:lang w:val="es-ES_tradnl" w:eastAsia="es-ES"/>
        </w:rPr>
      </w:pPr>
      <w:r>
        <w:rPr>
          <w:rFonts w:eastAsia="Times New Roman" w:cs="Arial" w:ascii="Arial" w:hAnsi="Arial"/>
          <w:b/>
          <w:color w:val="000000" w:themeColor="text1"/>
          <w:sz w:val="14"/>
          <w:szCs w:val="14"/>
          <w:u w:val="single"/>
          <w:lang w:val="es-ES_tradnl" w:eastAsia="es-ES"/>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8"/>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8"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spacing w:lineRule="auto" w:line="240" w:before="0" w:after="0"/>
              <w:jc w:val="left"/>
              <w:rPr>
                <w:rFonts w:ascii="Arial" w:hAnsi="Arial" w:cs="Arial"/>
                <w:color w:val="FFFFFF" w:themeColor="background1"/>
                <w:sz w:val="18"/>
                <w:szCs w:val="18"/>
              </w:rPr>
            </w:pPr>
            <w:bookmarkStart w:id="3" w:name="_Hlk149061126"/>
            <w:bookmarkEnd w:id="3"/>
            <w:r>
              <w:rPr>
                <w:rFonts w:eastAsia="Calibri" w:cs="Arial" w:ascii="Arial" w:hAnsi="Arial"/>
                <w:b/>
                <w:bCs/>
                <w:color w:val="FFFFFF" w:themeColor="background1"/>
                <w:kern w:val="0"/>
                <w:sz w:val="18"/>
                <w:szCs w:val="18"/>
                <w:lang w:eastAsia="en-US"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 xml:space="preserve">SUPLEMENTO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8"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spacing w:lineRule="auto" w:line="240" w:before="0" w:after="0"/>
              <w:jc w:val="left"/>
              <w:rPr>
                <w:rFonts w:ascii="Arial" w:hAnsi="Arial" w:cs="Arial"/>
                <w:sz w:val="18"/>
                <w:szCs w:val="18"/>
              </w:rPr>
            </w:pPr>
            <w:r>
              <w:rPr>
                <w:rFonts w:eastAsia="Calibri" w:cs="Arial" w:ascii="Arial" w:hAnsi="Arial"/>
                <w:b/>
                <w:bCs/>
                <w:kern w:val="0"/>
                <w:sz w:val="18"/>
                <w:szCs w:val="18"/>
                <w:lang w:eastAsia="en-US"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USD 69</w:t>
            </w:r>
          </w:p>
        </w:tc>
      </w:tr>
      <w:tr>
        <w:trPr>
          <w:trHeight w:val="397" w:hRule="atLeast"/>
        </w:trPr>
        <w:tc>
          <w:tcPr>
            <w:tcW w:w="6988"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eastAsia="en-US"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eastAsia="Calibri" w:cs="Arial" w:ascii="Arial" w:hAnsi="Arial"/>
                <w:kern w:val="0"/>
                <w:sz w:val="22"/>
                <w:szCs w:val="22"/>
                <w:lang w:eastAsia="en-US" w:bidi="ar-SA"/>
              </w:rPr>
            </w:r>
          </w:p>
        </w:tc>
      </w:tr>
    </w:tbl>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0"/>
          <w:szCs w:val="10"/>
          <w:u w:val="single"/>
          <w:lang w:val="es-ES_tradnl" w:eastAsia="es-ES"/>
        </w:rPr>
      </w:pPr>
      <w:r>
        <w:rPr>
          <w:rFonts w:eastAsia="Times New Roman" w:cs="Arial" w:ascii="Arial" w:hAnsi="Arial"/>
          <w:b/>
          <w:color w:val="E36C0A" w:themeColor="accent6" w:themeShade="bf"/>
          <w:sz w:val="10"/>
          <w:szCs w:val="10"/>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_tradnl" w:eastAsia="es-ES"/>
        </w:rPr>
      </w:pPr>
      <w:bookmarkStart w:id="4" w:name="_Hlk149061178"/>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bookmarkEnd w:id="4"/>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2"/>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2"/>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excursión a Machu Picchu ha sido cotizada en el servicio de tren Vistadome / Expedition con almuerzo en el restaurante local (no incluye bebidas).</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 regular.</w:t>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rmal"/>
        <w:spacing w:lineRule="auto" w:line="240" w:before="0" w:after="0"/>
        <w:jc w:val="both"/>
        <w:rPr>
          <w:rFonts w:ascii="Arial" w:hAnsi="Arial" w:eastAsia="Times New Roman" w:cs="Arial"/>
          <w:b/>
          <w:b/>
          <w:sz w:val="18"/>
          <w:szCs w:val="18"/>
          <w:u w:val="single"/>
          <w:lang w:val="es-ES_tradnl" w:eastAsia="es-ES"/>
        </w:rPr>
      </w:pPr>
      <w:r>
        <w:rPr>
          <w:rFonts w:eastAsia="Times New Roman" w:cs="Arial" w:ascii="Arial" w:hAnsi="Arial"/>
          <w:b/>
          <w:sz w:val="18"/>
          <w:szCs w:val="18"/>
          <w:u w:val="single"/>
          <w:lang w:val="es-ES_tradnl"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PARA VIAJAR HASTA EL 31 DE MARZO 202</w:t>
      </w:r>
      <w:r>
        <w:rPr>
          <w:rFonts w:cs="Arial" w:ascii="Arial" w:hAnsi="Arial"/>
          <w:b/>
          <w:color w:val="E36C0A" w:themeColor="accent6" w:themeShade="bf"/>
          <w:sz w:val="22"/>
          <w:szCs w:val="22"/>
          <w:u w:val="single"/>
          <w:lang w:val="es-ES_tradnl" w:eastAsia="es-ES"/>
        </w:rPr>
        <w:t>6</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 xml:space="preserve">SE REQUIERE PREPAGO </w:t>
      </w:r>
    </w:p>
    <w:tbl>
      <w:tblPr>
        <w:tblStyle w:val="Sombreadomedio1-nfasis6"/>
        <w:tblW w:w="726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263"/>
      </w:tblGrid>
      <w:tr>
        <w:trPr>
          <w:trHeight w:val="142" w:hRule="atLeast"/>
          <w:cnfStyle w:val="100000000000" w:firstRow="1" w:lastRow="0" w:firstColumn="0" w:lastColumn="0" w:oddVBand="0" w:evenVBand="0" w:oddHBand="0" w:evenHBand="0" w:firstRowFirstColumn="0" w:firstRowLastColumn="0" w:lastRowFirstColumn="0" w:lastRowLastColumn="0"/>
        </w:trPr>
        <w:tc>
          <w:tcPr>
            <w:tcW w:w="7263"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564" w:hRule="atLeast"/>
          <w:cnfStyle w:val="000000100000" w:firstRow="0" w:lastRow="0" w:firstColumn="0" w:lastColumn="0" w:oddVBand="0" w:evenVBand="0" w:oddHBand="1" w:evenHBand="0" w:firstRowFirstColumn="0" w:firstRowLastColumn="0" w:lastRowFirstColumn="0" w:lastRowLastColumn="0"/>
        </w:trPr>
        <w:tc>
          <w:tcPr>
            <w:tcW w:w="7263"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4"/>
              </w:numPr>
              <w:spacing w:before="0" w:after="0"/>
              <w:jc w:val="left"/>
              <w:textAlignment w:val="baseline"/>
              <w:rPr>
                <w:rFonts w:ascii="Arial" w:hAnsi="Arial" w:cs="Arial"/>
                <w:b/>
                <w:b/>
                <w:bCs/>
                <w:sz w:val="18"/>
                <w:szCs w:val="18"/>
                <w:lang w:val="es-MX" w:eastAsia="es-ES"/>
              </w:rPr>
            </w:pPr>
            <w:r>
              <w:rPr>
                <w:rFonts w:cs="Arial" w:ascii="Arial" w:hAnsi="Arial"/>
                <w:b/>
                <w:bCs/>
                <w:kern w:val="0"/>
                <w:sz w:val="18"/>
                <w:szCs w:val="18"/>
                <w:lang w:val="es-MX" w:eastAsia="es-ES" w:bidi="ar-SA"/>
              </w:rPr>
              <w:t>Toda anulación implica gastos de cancelación del 15% del costo total de la reservación.</w:t>
            </w:r>
          </w:p>
          <w:p>
            <w:pPr>
              <w:pStyle w:val="NoSpacing"/>
              <w:widowControl w:val="false"/>
              <w:numPr>
                <w:ilvl w:val="0"/>
                <w:numId w:val="4"/>
              </w:numPr>
              <w:spacing w:before="0" w:after="0"/>
              <w:jc w:val="left"/>
              <w:textAlignment w:val="baseline"/>
              <w:rPr>
                <w:rFonts w:ascii="Arial" w:hAnsi="Arial" w:cs="Arial"/>
                <w:b/>
                <w:b/>
                <w:bCs/>
                <w:sz w:val="18"/>
                <w:szCs w:val="18"/>
                <w:lang w:val="es-MX" w:eastAsia="es-ES"/>
              </w:rPr>
            </w:pPr>
            <w:r>
              <w:rPr>
                <w:rFonts w:cs="Arial" w:ascii="Arial" w:hAnsi="Arial"/>
                <w:b/>
                <w:bCs/>
                <w:kern w:val="0"/>
                <w:sz w:val="18"/>
                <w:szCs w:val="18"/>
                <w:lang w:val="es-MX" w:eastAsia="es-ES" w:bidi="ar-SA"/>
              </w:rPr>
              <w:t>De 49 a 30 días antes de la fecha de salida aplica 35% del costo total de la reservación.</w:t>
            </w:r>
          </w:p>
          <w:p>
            <w:pPr>
              <w:pStyle w:val="NoSpacing"/>
              <w:widowControl w:val="false"/>
              <w:numPr>
                <w:ilvl w:val="0"/>
                <w:numId w:val="4"/>
              </w:numPr>
              <w:spacing w:before="0" w:after="0"/>
              <w:jc w:val="left"/>
              <w:textAlignment w:val="baseline"/>
              <w:rPr>
                <w:rFonts w:ascii="Arial" w:hAnsi="Arial" w:cs="Arial"/>
                <w:b/>
                <w:b/>
                <w:bCs/>
                <w:sz w:val="18"/>
                <w:szCs w:val="18"/>
                <w:lang w:val="es-MX" w:eastAsia="es-ES"/>
              </w:rPr>
            </w:pPr>
            <w:r>
              <w:rPr>
                <w:rFonts w:cs="Arial" w:ascii="Arial" w:hAnsi="Arial"/>
                <w:b/>
                <w:bCs/>
                <w:kern w:val="0"/>
                <w:sz w:val="18"/>
                <w:szCs w:val="18"/>
                <w:lang w:val="es-MX" w:eastAsia="es-ES" w:bidi="ar-SA"/>
              </w:rPr>
              <w:t xml:space="preserve">De 29 a 15 días antes de la fecha de salida aplica 60% del costo total de la reservación. </w:t>
            </w:r>
          </w:p>
          <w:p>
            <w:pPr>
              <w:pStyle w:val="NoSpacing"/>
              <w:widowControl w:val="false"/>
              <w:numPr>
                <w:ilvl w:val="0"/>
                <w:numId w:val="4"/>
              </w:numPr>
              <w:spacing w:before="0" w:after="0"/>
              <w:jc w:val="left"/>
              <w:textAlignment w:val="baseline"/>
              <w:rPr>
                <w:rFonts w:ascii="Arial" w:hAnsi="Arial" w:cs="Arial"/>
                <w:b/>
                <w:b/>
                <w:bCs/>
                <w:sz w:val="18"/>
                <w:szCs w:val="18"/>
                <w:lang w:val="es-MX" w:eastAsia="es-ES"/>
              </w:rPr>
            </w:pPr>
            <w:r>
              <w:rPr>
                <w:rFonts w:cs="Arial" w:ascii="Arial" w:hAnsi="Arial"/>
                <w:b/>
                <w:bCs/>
                <w:kern w:val="0"/>
                <w:sz w:val="18"/>
                <w:szCs w:val="18"/>
                <w:lang w:val="es-MX" w:eastAsia="es-ES" w:bidi="ar-SA"/>
              </w:rPr>
              <w:t>Entre 15 y 0 días antes de la fecha de salida aplica 100% de cargos del costo total de la reservación por persona.</w:t>
            </w:r>
          </w:p>
          <w:p>
            <w:pPr>
              <w:pStyle w:val="NoSpacing"/>
              <w:widowControl w:val="false"/>
              <w:numPr>
                <w:ilvl w:val="0"/>
                <w:numId w:val="4"/>
              </w:numPr>
              <w:spacing w:before="0" w:after="0"/>
              <w:jc w:val="left"/>
              <w:textAlignment w:val="baseline"/>
              <w:rPr>
                <w:rFonts w:ascii="Arial" w:hAnsi="Arial" w:cs="Arial"/>
                <w:b/>
                <w:b/>
                <w:bCs/>
                <w:sz w:val="18"/>
                <w:szCs w:val="18"/>
                <w:lang w:val="es-MX" w:eastAsia="es-ES"/>
              </w:rPr>
            </w:pPr>
            <w:r>
              <w:rPr>
                <w:rFonts w:cs="Arial" w:ascii="Arial" w:hAnsi="Arial"/>
                <w:b/>
                <w:bCs/>
                <w:kern w:val="0"/>
                <w:sz w:val="18"/>
                <w:szCs w:val="18"/>
                <w:lang w:val="es-MX" w:eastAsia="es-ES" w:bidi="ar-SA"/>
              </w:rPr>
              <w:t>NO SHOW aplican cargos del 100% de cargos del costo total de la reservación por persona</w:t>
            </w:r>
          </w:p>
          <w:p>
            <w:pPr>
              <w:pStyle w:val="NoSpacing"/>
              <w:widowControl w:val="false"/>
              <w:spacing w:before="0" w:after="0"/>
              <w:jc w:val="left"/>
              <w:textAlignment w:val="baseline"/>
              <w:rPr>
                <w:rFonts w:ascii="Arial" w:hAnsi="Arial" w:cs="Arial"/>
                <w:b/>
                <w:b/>
                <w:bCs/>
                <w:sz w:val="18"/>
                <w:szCs w:val="18"/>
                <w:lang w:val="es-MX" w:eastAsia="es-ES"/>
              </w:rPr>
            </w:pPr>
            <w:r>
              <w:rPr>
                <w:rFonts w:cs="Arial" w:ascii="Arial" w:hAnsi="Arial"/>
                <w:b/>
                <w:bCs/>
                <w:kern w:val="0"/>
                <w:sz w:val="18"/>
                <w:szCs w:val="18"/>
                <w:lang w:val="es-MX" w:eastAsia="en-US" w:bidi="ar-SA"/>
              </w:rPr>
            </w:r>
          </w:p>
          <w:p>
            <w:pPr>
              <w:pStyle w:val="NoSpacing"/>
              <w:widowControl w:val="fals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En el caso de los billetes de tren una vez emitidos los tickets estos son NO REEMBOLSABLES, no importante la fecha que sea solicitada la cancelación.</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0" distB="19050" distL="0" distR="28575" simplePos="0" locked="0" layoutInCell="0" allowOverlap="1" relativeHeight="5" wp14:anchorId="0A15F726">
              <wp:simplePos x="0" y="0"/>
              <wp:positionH relativeFrom="page">
                <wp:posOffset>-342900</wp:posOffset>
              </wp:positionH>
              <wp:positionV relativeFrom="paragraph">
                <wp:posOffset>-544830</wp:posOffset>
              </wp:positionV>
              <wp:extent cx="8029575" cy="990600"/>
              <wp:effectExtent l="13335" t="12700" r="12065" b="12700"/>
              <wp:wrapNone/>
              <wp:docPr id="2" name="Rectángulo 1"/>
              <a:graphic xmlns:a="http://schemas.openxmlformats.org/drawingml/2006/main">
                <a:graphicData uri="http://schemas.microsoft.com/office/word/2010/wordprocessingShape">
                  <wps:wsp>
                    <wps:cNvSpPr/>
                    <wps:spPr>
                      <a:xfrm>
                        <a:off x="0" y="0"/>
                        <a:ext cx="8029440" cy="990720"/>
                      </a:xfrm>
                      <a:prstGeom prst="rect">
                        <a:avLst/>
                      </a:prstGeom>
                      <a:solidFill>
                        <a:schemeClr val="bg1">
                          <a:lumMod val="75000"/>
                        </a:schemeClr>
                      </a:solidFill>
                      <a:ln>
                        <a:solidFill>
                          <a:srgbClr val="ffffff">
                            <a:lumMod val="75000"/>
                          </a:srgbClr>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27pt;margin-top:-42.9pt;width:632.2pt;height:77.95pt;mso-wrap-style:none;v-text-anchor:middle;mso-position-horizontal-relative:page" wp14:anchorId="0A15F726">
              <v:fill o:detectmouseclick="t" type="solid" color2="#404040"/>
              <v:stroke color="#bfbfbf" weight="25560" joinstyle="round" endcap="flat"/>
              <w10:wrap type="none"/>
            </v:rect>
          </w:pict>
        </mc:Fallback>
      </mc:AlternateContent>
      <w:drawing>
        <wp:anchor behindDoc="1" distT="0" distB="0" distL="0" distR="0" simplePos="0" locked="0" layoutInCell="0" allowOverlap="1" relativeHeight="10">
          <wp:simplePos x="0" y="0"/>
          <wp:positionH relativeFrom="column">
            <wp:posOffset>-358775</wp:posOffset>
          </wp:positionH>
          <wp:positionV relativeFrom="paragraph">
            <wp:posOffset>-221615</wp:posOffset>
          </wp:positionV>
          <wp:extent cx="1971675" cy="475615"/>
          <wp:effectExtent l="0" t="0" r="0" b="0"/>
          <wp:wrapNone/>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99"/>
    <w:qFormat/>
    <w:rsid w:val="0046232d"/>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ascii="Calibri" w:hAnsi="Calibri"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D0CE8D-42CE-4365-88C5-E97233AD8DCE}">
  <ds:schemaRefs>
    <ds:schemaRef ds:uri="http://schemas.microsoft.com/sharepoint/v3/contenttype/forms"/>
  </ds:schemaRefs>
</ds:datastoreItem>
</file>

<file path=customXml/itemProps2.xml><?xml version="1.0" encoding="utf-8"?>
<ds:datastoreItem xmlns:ds="http://schemas.openxmlformats.org/officeDocument/2006/customXml" ds:itemID="{D40D7FA9-0136-4FD3-B94F-F1F8F0F478C1}">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3.xml><?xml version="1.0" encoding="utf-8"?>
<ds:datastoreItem xmlns:ds="http://schemas.openxmlformats.org/officeDocument/2006/customXml" ds:itemID="{7D53D504-6FDB-4A65-8B66-3DDF52CCF005}">
  <ds:schemaRefs>
    <ds:schemaRef ds:uri="http://schemas.openxmlformats.org/officeDocument/2006/bibliography"/>
  </ds:schemaRefs>
</ds:datastoreItem>
</file>

<file path=customXml/itemProps4.xml><?xml version="1.0" encoding="utf-8"?>
<ds:datastoreItem xmlns:ds="http://schemas.openxmlformats.org/officeDocument/2006/customXml" ds:itemID="{16665204-4172-4F60-A7B5-255C847109CE}"/>
</file>

<file path=docProps/app.xml><?xml version="1.0" encoding="utf-8"?>
<Properties xmlns="http://schemas.openxmlformats.org/officeDocument/2006/extended-properties" xmlns:vt="http://schemas.openxmlformats.org/officeDocument/2006/docPropsVTypes">
  <Template>Normal</Template>
  <TotalTime>127</TotalTime>
  <Application>LibreOffice/7.3.5.2$Windows_X86_64 LibreOffice_project/184fe81b8c8c30d8b5082578aee2fed2ea847c01</Application>
  <AppVersion>15.0000</AppVersion>
  <Pages>4</Pages>
  <Words>2306</Words>
  <Characters>11677</Characters>
  <CharactersWithSpaces>13894</CharactersWithSpaces>
  <Paragraphs>194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2023-10-26T19:46:00Z</dcterms:created>
  <dc:creator>Nan Lara</dc:creator>
  <dc:description/>
  <dc:language>es-MX</dc:language>
  <cp:lastModifiedBy/>
  <cp:lastPrinted>2022-03-30T17:44:00Z</cp:lastPrinted>
  <dcterms:modified xsi:type="dcterms:W3CDTF">2024-11-08T23:31:35Z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845cd7b1f16076a2cd16ee8117d6b444fae2bc4b2e5a897b0311ec78ab44450c</vt:lpwstr>
  </property>
</Properties>
</file>