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108" w:tblpY="14" w:topFromText="0" w:vertAnchor="text"/>
        <w:tblW w:w="9696"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696"/>
      </w:tblGrid>
      <w:tr>
        <w:trPr>
          <w:trHeight w:val="240" w:hRule="atLeast"/>
          <w:cnfStyle w:val="100000000000" w:firstRow="1" w:lastRow="0" w:firstColumn="0" w:lastColumn="0" w:oddVBand="0" w:evenVBand="0" w:oddHBand="0" w:evenHBand="0" w:firstRowFirstColumn="0" w:firstRowLastColumn="0" w:lastRowFirstColumn="0" w:lastRowLastColumn="0"/>
        </w:trPr>
        <w:tc>
          <w:tcPr>
            <w:tcW w:w="9696" w:type="dxa"/>
            <w:cnfStyle w:val="001000000000" w:firstRow="0" w:lastRow="0" w:firstColumn="1" w:lastColumn="0" w:oddVBand="0" w:evenVBand="0" w:oddHBand="0" w:evenHBand="0" w:firstRowFirstColumn="0" w:firstRowLastColumn="0" w:lastRowFirstColumn="0" w:lastRowLastColumn="0"/>
            <w:tcBorders>
              <w:left w:val="single" w:sz="8" w:space="0" w:color="FFFFFF"/>
              <w:bottom w:val="single" w:sz="12" w:space="0" w:color="F79646"/>
              <w:right w:val="single" w:sz="8" w:space="0" w:color="FFFFFF"/>
            </w:tcBorders>
          </w:tcPr>
          <w:p>
            <w:pPr>
              <w:pStyle w:val="Normal"/>
              <w:widowControl w:val="false"/>
              <w:suppressAutoHyphens w:val="true"/>
              <w:spacing w:lineRule="auto" w:line="240" w:before="0" w:after="0"/>
              <w:jc w:val="right"/>
              <w:rPr>
                <w:rFonts w:ascii="Arial" w:hAnsi="Arial" w:eastAsia="Times New Roman" w:cs="Arial"/>
                <w:color w:val="E36C0A" w:themeColor="accent6" w:themeShade="bf"/>
                <w:sz w:val="29"/>
                <w:szCs w:val="29"/>
                <w:lang w:eastAsia="es-ES"/>
              </w:rPr>
            </w:pPr>
            <w:r>
              <w:rPr>
                <w:rFonts w:eastAsia="Times New Roman" w:cs="Arial" w:ascii="Arial" w:hAnsi="Arial"/>
                <w:b/>
                <w:bCs/>
                <w:color w:val="E36C0A" w:themeColor="accent6" w:themeShade="bf" w:themeTint="ff"/>
                <w:kern w:val="0"/>
                <w:sz w:val="29"/>
                <w:szCs w:val="29"/>
                <w:lang w:val="es-ES" w:eastAsia="es-ES" w:bidi="ar-SA"/>
              </w:rPr>
              <w:t>NAVIDAD &amp; AÑO NUEVO EN LOS CASTILLOS DE LAS ROCOSAS</w:t>
            </w:r>
          </w:p>
        </w:tc>
      </w:tr>
    </w:tbl>
    <w:p>
      <w:pPr>
        <w:pStyle w:val="Normal"/>
        <w:spacing w:lineRule="auto" w:line="240" w:before="0" w:after="0"/>
        <w:jc w:val="both"/>
        <w:rPr>
          <w:rFonts w:ascii="Arial" w:hAnsi="Arial" w:eastAsia="Times New Roman" w:cs="Arial"/>
          <w:color w:val="000000"/>
          <w:sz w:val="8"/>
          <w:szCs w:val="12"/>
          <w:lang w:eastAsia="es-ES"/>
        </w:rPr>
      </w:pPr>
      <w:r>
        <w:rPr>
          <w:rFonts w:eastAsia="Times New Roman" w:cs="Arial" w:ascii="Arial" w:hAnsi="Arial"/>
          <w:color w:val="000000"/>
          <w:sz w:val="8"/>
          <w:szCs w:val="12"/>
          <w:lang w:eastAsia="es-ES"/>
        </w:rPr>
      </w:r>
    </w:p>
    <w:tbl>
      <w:tblPr>
        <w:tblStyle w:val="Cuadrculamedia1-nfasis6"/>
        <w:tblW w:w="10080" w:type="dxa"/>
        <w:jc w:val="left"/>
        <w:tblInd w:w="-11" w:type="dxa"/>
        <w:shd w:fill="FDE4D0" w:val="clear"/>
        <w:tblLayout w:type="fixed"/>
        <w:tblCellMar>
          <w:top w:w="0" w:type="dxa"/>
          <w:left w:w="108" w:type="dxa"/>
          <w:bottom w:w="0" w:type="dxa"/>
          <w:right w:w="108" w:type="dxa"/>
        </w:tblCellMar>
        <w:tblLook w:firstRow="1" w:noVBand="1" w:lastRow="0" w:firstColumn="1" w:lastColumn="0" w:noHBand="0" w:val="04a0"/>
      </w:tblPr>
      <w:tblGrid>
        <w:gridCol w:w="10080"/>
      </w:tblGrid>
      <w:tr>
        <w:trPr>
          <w:trHeight w:val="864" w:hRule="atLeast"/>
          <w:cnfStyle w:val="100000000000" w:firstRow="1" w:lastRow="0" w:firstColumn="0" w:lastColumn="0" w:oddVBand="0" w:evenVBand="0" w:oddHBand="0" w:evenHBand="0" w:firstRowFirstColumn="0" w:firstRowLastColumn="0" w:lastRowFirstColumn="0" w:lastRowLastColumn="0"/>
        </w:trPr>
        <w:tc>
          <w:tcPr>
            <w:tcW w:w="10080"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
              <w:widowControl w:val="false"/>
              <w:suppressAutoHyphens w:val="true"/>
              <w:spacing w:lineRule="auto" w:line="240" w:before="0" w:afterAutospacing="0" w:after="43"/>
              <w:ind w:left="1410" w:hanging="1410"/>
              <w:jc w:val="both"/>
              <w:rPr/>
            </w:pPr>
            <w:r>
              <w:rPr>
                <w:rFonts w:eastAsia="Times New Roman" w:cs="Arial" w:ascii="Arial" w:hAnsi="Arial"/>
                <w:b/>
                <w:bCs/>
                <w:color w:val="E36C0A" w:themeColor="accent6" w:themeShade="bf" w:themeTint="ff"/>
                <w:kern w:val="0"/>
                <w:sz w:val="18"/>
                <w:szCs w:val="18"/>
                <w:lang w:val="es-MX" w:eastAsia="es-ES" w:bidi="ar-SA"/>
              </w:rPr>
              <w:t>Visitando:</w:t>
            </w:r>
            <w:r>
              <w:rPr>
                <w:b/>
                <w:bCs/>
                <w:kern w:val="0"/>
                <w:sz w:val="22"/>
                <w:szCs w:val="22"/>
                <w:lang w:val="es-ES" w:eastAsia="en-US" w:bidi="ar-SA"/>
              </w:rPr>
              <w:tab/>
            </w:r>
            <w:r>
              <w:rPr>
                <w:rFonts w:eastAsia="Times New Roman" w:cs="Arial" w:ascii="Arial" w:hAnsi="Arial"/>
                <w:b/>
                <w:bCs/>
                <w:color w:val="000000" w:themeColor="text1" w:themeShade="ff" w:themeTint="ff"/>
                <w:kern w:val="0"/>
                <w:sz w:val="18"/>
                <w:szCs w:val="18"/>
                <w:lang w:val="es-MX" w:eastAsia="es-ES" w:bidi="ar-SA"/>
              </w:rPr>
              <w:t xml:space="preserve">Calgary – Lake Louise – Banff – Calgary </w:t>
            </w:r>
          </w:p>
          <w:p>
            <w:pPr>
              <w:pStyle w:val="Normal"/>
              <w:widowControl w:val="false"/>
              <w:suppressAutoHyphens w:val="true"/>
              <w:spacing w:lineRule="auto" w:line="240" w:before="0" w:afterAutospacing="0" w:after="43"/>
              <w:ind w:left="1410" w:hanging="1410"/>
              <w:jc w:val="both"/>
              <w:rPr/>
            </w:pPr>
            <w:r>
              <w:rPr>
                <w:rFonts w:eastAsia="Times New Roman" w:cs="Arial" w:ascii="Arial" w:hAnsi="Arial"/>
                <w:b/>
                <w:bCs/>
                <w:color w:val="E36C0A" w:themeColor="accent6" w:themeShade="bf" w:themeTint="ff"/>
                <w:kern w:val="0"/>
                <w:sz w:val="18"/>
                <w:szCs w:val="18"/>
                <w:lang w:val="es-ES" w:eastAsia="es-ES" w:bidi="ar-SA"/>
              </w:rPr>
              <w:t>Salidas:</w:t>
            </w:r>
            <w:r>
              <w:rPr>
                <w:b/>
                <w:bCs/>
                <w:kern w:val="0"/>
                <w:sz w:val="22"/>
                <w:szCs w:val="22"/>
                <w:lang w:val="es-ES" w:eastAsia="en-US" w:bidi="ar-SA"/>
              </w:rPr>
              <w:tab/>
            </w:r>
            <w:r>
              <w:rPr>
                <w:rFonts w:eastAsia="Times New Roman" w:cs="Arial" w:ascii="Arial" w:hAnsi="Arial"/>
                <w:b/>
                <w:bCs/>
                <w:color w:val="000000" w:themeColor="text1" w:themeShade="ff" w:themeTint="ff"/>
                <w:kern w:val="0"/>
                <w:sz w:val="18"/>
                <w:szCs w:val="18"/>
                <w:lang w:val="es-ES" w:eastAsia="es-ES" w:bidi="ar-SA"/>
              </w:rPr>
              <w:t xml:space="preserve">21/12/2024 </w:t>
            </w:r>
            <w:r>
              <w:rPr>
                <w:rFonts w:eastAsia="Times New Roman" w:cs="Arial" w:ascii="Arial" w:hAnsi="Arial"/>
                <w:b/>
                <w:bCs/>
                <w:color w:val="000000" w:themeColor="text1" w:themeShade="ff" w:themeTint="ff"/>
                <w:kern w:val="0"/>
                <w:sz w:val="18"/>
                <w:szCs w:val="18"/>
                <w:lang w:val="es-ES" w:eastAsia="es-ES" w:bidi="ar-SA"/>
              </w:rPr>
              <w:t>y 28</w:t>
            </w:r>
            <w:r>
              <w:rPr>
                <w:rFonts w:eastAsia="Times New Roman" w:cs="Arial" w:ascii="Arial" w:hAnsi="Arial"/>
                <w:b/>
                <w:bCs/>
                <w:color w:val="000000" w:themeColor="text1" w:themeShade="ff" w:themeTint="ff"/>
                <w:kern w:val="0"/>
                <w:sz w:val="18"/>
                <w:szCs w:val="18"/>
                <w:lang w:val="es-ES" w:eastAsia="es-ES" w:bidi="ar-SA"/>
              </w:rPr>
              <w:t>/1</w:t>
            </w:r>
            <w:r>
              <w:rPr>
                <w:rFonts w:eastAsia="Times New Roman" w:cs="Arial" w:ascii="Arial" w:hAnsi="Arial"/>
                <w:b/>
                <w:bCs/>
                <w:color w:val="000000" w:themeColor="text1" w:themeShade="ff" w:themeTint="ff"/>
                <w:kern w:val="0"/>
                <w:sz w:val="18"/>
                <w:szCs w:val="18"/>
                <w:lang w:val="es-ES" w:eastAsia="es-ES" w:bidi="ar-SA"/>
              </w:rPr>
              <w:t>2</w:t>
            </w:r>
            <w:r>
              <w:rPr>
                <w:rFonts w:eastAsia="Times New Roman" w:cs="Arial" w:ascii="Arial" w:hAnsi="Arial"/>
                <w:b/>
                <w:bCs/>
                <w:color w:val="000000" w:themeColor="text1" w:themeShade="ff" w:themeTint="ff"/>
                <w:kern w:val="0"/>
                <w:sz w:val="18"/>
                <w:szCs w:val="18"/>
                <w:lang w:val="es-ES" w:eastAsia="es-ES" w:bidi="ar-SA"/>
              </w:rPr>
              <w:t>/202</w:t>
            </w:r>
            <w:r>
              <w:rPr>
                <w:rFonts w:eastAsia="Times New Roman" w:cs="Arial" w:ascii="Arial" w:hAnsi="Arial"/>
                <w:b/>
                <w:bCs/>
                <w:color w:val="000000" w:themeColor="text1" w:themeShade="ff" w:themeTint="ff"/>
                <w:kern w:val="0"/>
                <w:sz w:val="18"/>
                <w:szCs w:val="18"/>
                <w:lang w:val="es-ES" w:eastAsia="es-ES" w:bidi="ar-SA"/>
              </w:rPr>
              <w:t>4</w:t>
            </w:r>
          </w:p>
          <w:p>
            <w:pPr>
              <w:pStyle w:val="Normal"/>
              <w:widowControl w:val="false"/>
              <w:suppressAutoHyphens w:val="true"/>
              <w:spacing w:lineRule="auto" w:line="240" w:before="0" w:afterAutospacing="0" w:after="43"/>
              <w:ind w:left="1410" w:hanging="1410"/>
              <w:jc w:val="both"/>
              <w:rPr/>
            </w:pPr>
            <w:r>
              <w:rPr>
                <w:rFonts w:eastAsia="Calibri" w:cs="Arial" w:ascii="Arial" w:hAnsi="Arial"/>
                <w:b/>
                <w:bCs/>
                <w:color w:val="FF0000"/>
                <w:kern w:val="0"/>
                <w:sz w:val="18"/>
                <w:szCs w:val="18"/>
                <w:lang w:val="es-ES" w:eastAsia="en-US" w:bidi="ar-SA"/>
              </w:rPr>
              <w:t xml:space="preserve">                           </w:t>
            </w:r>
            <w:r>
              <w:rPr>
                <w:rFonts w:eastAsia="Calibri" w:cs="Arial" w:ascii="Arial" w:hAnsi="Arial"/>
                <w:b/>
                <w:bCs/>
                <w:color w:val="FF0000"/>
                <w:kern w:val="0"/>
                <w:sz w:val="18"/>
                <w:szCs w:val="18"/>
                <w:lang w:val="es-ES" w:eastAsia="en-US" w:bidi="ar-SA"/>
              </w:rPr>
              <w:t xml:space="preserve">**Opera mínimo con 2 personas viajando juntas, </w:t>
            </w:r>
          </w:p>
          <w:p>
            <w:pPr>
              <w:pStyle w:val="Normal"/>
              <w:widowControl w:val="false"/>
              <w:suppressAutoHyphens w:val="true"/>
              <w:spacing w:lineRule="auto" w:line="240" w:before="0" w:afterAutospacing="0" w:after="43"/>
              <w:ind w:left="1410" w:hanging="1410"/>
              <w:jc w:val="both"/>
              <w:rPr/>
            </w:pPr>
            <w:r>
              <w:rPr>
                <w:rFonts w:cs="Arial" w:ascii="Arial" w:hAnsi="Arial"/>
                <w:b/>
                <w:bCs/>
                <w:color w:val="FF0000"/>
                <w:kern w:val="0"/>
                <w:sz w:val="18"/>
                <w:szCs w:val="18"/>
                <w:lang w:val="es-ES" w:eastAsia="en-US" w:bidi="ar-SA"/>
              </w:rPr>
              <w:t xml:space="preserve">                           </w:t>
            </w:r>
            <w:r>
              <w:rPr>
                <w:rFonts w:cs="Arial" w:ascii="Arial" w:hAnsi="Arial"/>
                <w:b/>
                <w:bCs/>
                <w:color w:val="FF0000"/>
                <w:kern w:val="0"/>
                <w:sz w:val="18"/>
                <w:szCs w:val="18"/>
                <w:lang w:val="es-ES" w:eastAsia="en-US" w:bidi="ar-SA"/>
              </w:rPr>
              <w:t>*PVS, para Pasajero Viajando Solo, bajo consulta</w:t>
            </w:r>
          </w:p>
          <w:p>
            <w:pPr>
              <w:pStyle w:val="Normal"/>
              <w:widowControl w:val="false"/>
              <w:suppressAutoHyphens w:val="true"/>
              <w:spacing w:lineRule="auto" w:line="240" w:before="0" w:afterAutospacing="0" w:after="43"/>
              <w:ind w:left="1410" w:hanging="1410"/>
              <w:jc w:val="both"/>
              <w:rPr/>
            </w:pPr>
            <w:r>
              <w:rPr>
                <w:rFonts w:eastAsia="Times New Roman" w:cs="Arial" w:ascii="Arial" w:hAnsi="Arial"/>
                <w:b/>
                <w:bCs/>
                <w:color w:val="E36C0A" w:themeColor="accent6" w:themeShade="bf" w:themeTint="ff"/>
                <w:kern w:val="0"/>
                <w:sz w:val="18"/>
                <w:szCs w:val="18"/>
                <w:lang w:val="es-ES" w:eastAsia="es-ES" w:bidi="ar-SA"/>
              </w:rPr>
              <w:t>Duración:</w:t>
            </w:r>
            <w:r>
              <w:rPr>
                <w:b/>
                <w:bCs/>
                <w:kern w:val="0"/>
                <w:sz w:val="22"/>
                <w:szCs w:val="22"/>
                <w:lang w:val="es-ES" w:eastAsia="en-US" w:bidi="ar-SA"/>
              </w:rPr>
              <w:tab/>
            </w:r>
            <w:r>
              <w:rPr>
                <w:rFonts w:eastAsia="Times New Roman" w:cs="Arial" w:ascii="Arial" w:hAnsi="Arial"/>
                <w:b/>
                <w:bCs/>
                <w:color w:val="000000" w:themeColor="text1" w:themeShade="ff" w:themeTint="ff"/>
                <w:kern w:val="0"/>
                <w:sz w:val="18"/>
                <w:szCs w:val="18"/>
                <w:lang w:val="es-ES" w:eastAsia="es-ES" w:bidi="ar-SA"/>
              </w:rPr>
              <w:t>8 días / 7 noches</w:t>
            </w:r>
            <w:r>
              <w:rPr>
                <w:b/>
                <w:bCs/>
                <w:kern w:val="0"/>
                <w:sz w:val="22"/>
                <w:szCs w:val="22"/>
                <w:lang w:val="es-ES" w:eastAsia="en-US" w:bidi="ar-SA"/>
              </w:rPr>
              <w:tab/>
            </w:r>
          </w:p>
          <w:p>
            <w:pPr>
              <w:pStyle w:val="Normal"/>
              <w:widowControl w:val="false"/>
              <w:suppressAutoHyphens w:val="true"/>
              <w:spacing w:lineRule="auto" w:line="240" w:before="0" w:afterAutospacing="0" w:after="43"/>
              <w:ind w:left="1410" w:hanging="1410"/>
              <w:jc w:val="both"/>
              <w:rPr/>
            </w:pPr>
            <w:r>
              <w:rPr>
                <w:rFonts w:eastAsia="Times New Roman" w:cs="Arial" w:ascii="Arial" w:hAnsi="Arial"/>
                <w:b/>
                <w:bCs/>
                <w:color w:val="E36C0A" w:themeColor="accent6" w:themeShade="bf" w:themeTint="ff"/>
                <w:kern w:val="0"/>
                <w:sz w:val="18"/>
                <w:szCs w:val="18"/>
                <w:lang w:val="es-ES" w:eastAsia="es-ES" w:bidi="ar-SA"/>
              </w:rPr>
              <w:t xml:space="preserve">Alimentos:          </w:t>
            </w:r>
            <w:r>
              <w:rPr>
                <w:rFonts w:eastAsia="Times New Roman" w:cs="Arial" w:ascii="Arial" w:hAnsi="Arial"/>
                <w:b/>
                <w:bCs/>
                <w:kern w:val="0"/>
                <w:sz w:val="18"/>
                <w:szCs w:val="18"/>
                <w:lang w:val="es-ES" w:eastAsia="es-ES" w:bidi="ar-SA"/>
              </w:rPr>
              <w:t xml:space="preserve">- </w:t>
            </w:r>
          </w:p>
        </w:tc>
      </w:tr>
    </w:tbl>
    <w:p>
      <w:pPr>
        <w:pStyle w:val="Normal"/>
        <w:spacing w:lineRule="auto" w:line="240" w:before="0" w:after="0"/>
        <w:rPr>
          <w:rFonts w:ascii="Arial" w:hAnsi="Arial" w:eastAsia="Times New Roman" w:cs="Arial"/>
          <w:b/>
          <w:b/>
          <w:color w:val="E36C0A" w:themeColor="accent6" w:themeShade="bf"/>
          <w:sz w:val="10"/>
          <w:szCs w:val="10"/>
          <w:u w:val="single"/>
          <w:lang w:eastAsia="es-ES"/>
        </w:rPr>
      </w:pPr>
      <w:r>
        <w:rPr>
          <w:rFonts w:eastAsia="Times New Roman" w:cs="Arial" w:ascii="Arial" w:hAnsi="Arial"/>
          <w:b/>
          <w:color w:val="E36C0A" w:themeColor="accent6" w:themeShade="bf"/>
          <w:sz w:val="10"/>
          <w:szCs w:val="10"/>
          <w:u w:val="single"/>
          <w:lang w:eastAsia="es-ES"/>
        </w:rPr>
      </w:r>
    </w:p>
    <w:p>
      <w:pPr>
        <w:pStyle w:val="Normal"/>
        <w:spacing w:lineRule="auto" w:line="240" w:before="0" w:after="0"/>
        <w:rPr>
          <w:rFonts w:ascii="Arial" w:hAnsi="Arial" w:eastAsia="Times New Roman" w:cs="Arial"/>
          <w:b/>
          <w:b/>
          <w:color w:val="E36C0A" w:themeColor="accent6" w:themeShade="bf"/>
          <w:sz w:val="10"/>
          <w:szCs w:val="10"/>
          <w:u w:val="single"/>
          <w:lang w:eastAsia="es-ES"/>
        </w:rPr>
      </w:pPr>
      <w:r>
        <w:rPr/>
        <w:drawing>
          <wp:inline distT="0" distB="0" distL="0" distR="0">
            <wp:extent cx="6238875" cy="2079625"/>
            <wp:effectExtent l="0" t="0" r="0" b="0"/>
            <wp:docPr id="1"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
                    <pic:cNvPicPr>
                      <a:picLocks noChangeAspect="1" noChangeArrowheads="1"/>
                    </pic:cNvPicPr>
                  </pic:nvPicPr>
                  <pic:blipFill>
                    <a:blip r:embed="rId2"/>
                    <a:stretch>
                      <a:fillRect/>
                    </a:stretch>
                  </pic:blipFill>
                  <pic:spPr bwMode="auto">
                    <a:xfrm>
                      <a:off x="0" y="0"/>
                      <a:ext cx="6238875" cy="2079625"/>
                    </a:xfrm>
                    <a:prstGeom prst="rect">
                      <a:avLst/>
                    </a:prstGeom>
                  </pic:spPr>
                </pic:pic>
              </a:graphicData>
            </a:graphic>
          </wp:inline>
        </w:drawing>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both"/>
        <w:rPr>
          <w:rFonts w:ascii="Arial" w:hAnsi="Arial" w:eastAsia="Times New Roman" w:cs="Arial"/>
          <w:color w:val="000000"/>
          <w:sz w:val="12"/>
          <w:szCs w:val="18"/>
          <w:lang w:eastAsia="es-ES"/>
        </w:rPr>
      </w:pPr>
      <w:r>
        <w:rPr>
          <w:rFonts w:eastAsia="Times New Roman" w:cs="Arial" w:ascii="Arial" w:hAnsi="Arial"/>
          <w:color w:val="000000"/>
          <w:sz w:val="12"/>
          <w:szCs w:val="18"/>
          <w:lang w:eastAsia="es-ES"/>
        </w:rPr>
      </w:r>
    </w:p>
    <w:p>
      <w:pPr>
        <w:pStyle w:val="Normal"/>
        <w:spacing w:lineRule="auto" w:line="240" w:before="0" w:after="0"/>
        <w:jc w:val="both"/>
        <w:rPr>
          <w:rFonts w:ascii="Arial" w:hAnsi="Arial" w:eastAsia="Times New Roman" w:cs="Arial"/>
          <w:b/>
          <w:b/>
          <w:bCs/>
          <w:color w:val="E36C0A" w:themeColor="accent6" w:themeShade="bf"/>
          <w:sz w:val="18"/>
          <w:szCs w:val="18"/>
          <w:lang w:eastAsia="es-ES"/>
        </w:rPr>
      </w:pPr>
      <w:r>
        <w:rPr>
          <w:rFonts w:eastAsia="Times New Roman" w:cs="Arial" w:ascii="Arial" w:hAnsi="Arial"/>
          <w:b/>
          <w:bCs/>
          <w:color w:val="E36C0A" w:themeColor="accent6" w:themeShade="bf" w:themeTint="ff"/>
          <w:sz w:val="18"/>
          <w:szCs w:val="18"/>
          <w:lang w:eastAsia="es-ES"/>
        </w:rPr>
        <w:t xml:space="preserve">Día 1 </w:t>
      </w:r>
      <w:r>
        <w:rPr/>
        <w:tab/>
      </w:r>
      <w:r>
        <w:rPr>
          <w:rFonts w:eastAsia="Times New Roman" w:cs="Arial" w:ascii="Arial" w:hAnsi="Arial"/>
          <w:b/>
          <w:bCs/>
          <w:color w:val="E36C0A" w:themeColor="accent6" w:themeShade="bf" w:themeTint="ff"/>
          <w:sz w:val="18"/>
          <w:szCs w:val="18"/>
          <w:lang w:eastAsia="es-ES"/>
        </w:rPr>
        <w:t xml:space="preserve"> Calgary </w:t>
      </w:r>
    </w:p>
    <w:p>
      <w:pPr>
        <w:pStyle w:val="Normal"/>
        <w:spacing w:lineRule="auto" w:line="240" w:before="0" w:after="0"/>
        <w:jc w:val="both"/>
        <w:rPr>
          <w:rFonts w:ascii="Arial" w:hAnsi="Arial" w:cs="Arial"/>
          <w:sz w:val="18"/>
          <w:szCs w:val="18"/>
        </w:rPr>
      </w:pPr>
      <w:r>
        <w:rPr>
          <w:rFonts w:cs="Arial" w:ascii="Arial" w:hAnsi="Arial"/>
          <w:sz w:val="18"/>
          <w:szCs w:val="18"/>
        </w:rPr>
        <w:t>Recepción en el aeropuerto y traslado al hotel. Alojamiento.</w:t>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 xml:space="preserve">Día 2 </w:t>
        <w:tab/>
        <w:t xml:space="preserve"> Calgary – Lake Louise</w:t>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cs="Arial" w:ascii="Arial" w:hAnsi="Arial"/>
          <w:sz w:val="18"/>
          <w:szCs w:val="18"/>
        </w:rPr>
        <w:t>Por la mañana traslado a Lake Louise. El bellísimo Lake Louise está localizado en el corazón de las Rocosas, a sólo 30 minutos al Oeste de Banff. Mount Victoria con el Glaciar Victoria (3,464 m) es uno de los picos más fotografiado en las Rockies por encontrarse como marco de fondo a Lake Louise. En su tarde libre le sugerimos que recorra el hotel y sus alrededores, o bien, que disfrute de un chocolate caliente mientras admira Lake Louise y el paisaje rodeado de los interminables bosques blancos que abundan en los Parques Nacionales de las Montañas Rocosas. En el Fairmont Chateau Lake Louise también podrá disfrutar de las múltiples actividades opcionales que ofrece el hotel y la zona donde se encuentra ubicado. Alojamiento.</w:t>
      </w:r>
    </w:p>
    <w:p>
      <w:pPr>
        <w:pStyle w:val="Normal"/>
        <w:spacing w:lineRule="auto" w:line="240" w:before="0" w:after="0"/>
        <w:jc w:val="both"/>
        <w:rPr>
          <w:rFonts w:ascii="Arial" w:hAnsi="Arial" w:eastAsia="Times New Roman" w:cs="Arial"/>
          <w:sz w:val="18"/>
          <w:szCs w:val="18"/>
          <w:lang w:eastAsia="es-ES"/>
        </w:rPr>
      </w:pPr>
      <w:r>
        <w:rPr>
          <w:rFonts w:eastAsia="Times New Roman" w:cs="Arial" w:ascii="Arial" w:hAnsi="Arial"/>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Día 3</w:t>
        <w:tab/>
        <w:t xml:space="preserve"> Lake Louise </w:t>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cs="Arial" w:ascii="Arial" w:hAnsi="Arial"/>
          <w:sz w:val="18"/>
          <w:szCs w:val="18"/>
        </w:rPr>
        <w:t>Día libre para seguir disfrutando de las actividades de invierno del lugar, como los talleres de decoración de las tradicionales galletas de jengibre con toda la familia, construir su propia casa de galletas de jengibre o escuchar historias navideñas son sólo algunas de las actividades que podrá realizar para envolverse en un mágico viaje navideño. Por la tarde disfrute del taller de Santa, explore este taller único donde podrán realizar diferentes manualidades. Por la noche el hotel ofrece lectura de cuentos para los niños y películas para toda la familia. Los niños que lo deseen podrán escribir su carta a Santa y al siguiente día recibirán respuesta del mismo Santa a través de su correo especial de renos. Más tarde podrán participar en el coro de canciones navideñas, y por la noche escuchar cuentos junto a la chimenea y ver una película con palomitas con toda la familia. Alojamiento.</w:t>
      </w:r>
    </w:p>
    <w:p>
      <w:pPr>
        <w:pStyle w:val="Normal"/>
        <w:spacing w:lineRule="auto" w:line="240" w:before="0" w:after="0"/>
        <w:jc w:val="both"/>
        <w:rPr>
          <w:rFonts w:ascii="Arial" w:hAnsi="Arial" w:eastAsia="Times New Roman" w:cs="Arial"/>
          <w:sz w:val="18"/>
          <w:szCs w:val="18"/>
          <w:lang w:eastAsia="es-ES"/>
        </w:rPr>
      </w:pPr>
      <w:r>
        <w:rPr>
          <w:rFonts w:eastAsia="Times New Roman" w:cs="Arial" w:ascii="Arial" w:hAnsi="Arial"/>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Día 4       Lake Louise</w:t>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cs="Arial" w:ascii="Arial" w:hAnsi="Arial"/>
          <w:sz w:val="18"/>
          <w:szCs w:val="18"/>
        </w:rPr>
        <w:t>Día libre para disfrutar de la belleza de Lake Louise. Sugerimos realizar actividades opcionales como caminata con raquetas de nieve y tour de la vida salvaje. Si puede caminar, ¡podrá caminar sobre estas raquetas! Después de equiparse y recibir una breve explicación, saldrán junto con el guía completamente certificado a aventurarse en el bosque en busca de vida salvaje y de su adaptación a los climas fríos y largos inviernos de la región. Recorrido en inglés. Se requiere reservación previa). Por la tarde sugerimos vivir una experiencia única: patinar en hielo sobre Lake Louise!! Disfrute patinando sobre la pista natural que se forma al congelarse este famoso lago. Renta del equipo disponible en el Front Desk del hotel. Disponible reserva de cena de Nochebuena (opcional). Alojamiento.</w:t>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Día 5</w:t>
        <w:tab/>
        <w:t xml:space="preserve"> Lake Louise – Banff</w:t>
      </w:r>
    </w:p>
    <w:p>
      <w:pPr>
        <w:pStyle w:val="Normal"/>
        <w:spacing w:lineRule="auto" w:line="240" w:before="0" w:after="0"/>
        <w:jc w:val="both"/>
        <w:rPr>
          <w:rFonts w:ascii="Arial" w:hAnsi="Arial" w:cs="Arial"/>
          <w:sz w:val="18"/>
          <w:szCs w:val="18"/>
        </w:rPr>
      </w:pPr>
      <w:r>
        <w:rPr>
          <w:rFonts w:cs="Arial" w:ascii="Arial" w:hAnsi="Arial"/>
          <w:sz w:val="18"/>
          <w:szCs w:val="18"/>
        </w:rPr>
        <w:t>No hay mejor manera de recibir la Navidad que disfrutando con toda la familia del Christmas Breakfast. Por la mañana traslado a Banff. Resto del día libre para disfrutar del maravilloso pueblo de Banff, o bien, de las múltiples actividades navideñas opcionales que ofrece el famoso Castillo del Fairmont Banff Springs en estas fechas para niños de todas las edades. Alojamiento.</w:t>
      </w:r>
    </w:p>
    <w:p>
      <w:pPr>
        <w:pStyle w:val="Normal"/>
        <w:spacing w:lineRule="auto" w:line="240" w:before="0" w:after="0"/>
        <w:jc w:val="both"/>
        <w:rPr>
          <w:rFonts w:ascii="Arial" w:hAnsi="Arial" w:cs="Arial"/>
          <w:sz w:val="18"/>
          <w:szCs w:val="18"/>
          <w:lang w:eastAsia="es-ES"/>
        </w:rPr>
      </w:pPr>
      <w:r>
        <w:rPr>
          <w:rFonts w:cs="Arial" w:ascii="Arial" w:hAnsi="Arial"/>
          <w:sz w:val="18"/>
          <w:szCs w:val="18"/>
          <w:lang w:eastAsia="es-ES"/>
        </w:rPr>
      </w:r>
    </w:p>
    <w:p>
      <w:pPr>
        <w:pStyle w:val="Normal"/>
        <w:spacing w:lineRule="auto" w:line="240" w:before="0" w:after="0"/>
        <w:jc w:val="both"/>
        <w:rPr>
          <w:rFonts w:ascii="Arial" w:hAnsi="Arial" w:eastAsia="Times New Roman" w:cs="Arial"/>
          <w:sz w:val="18"/>
          <w:szCs w:val="18"/>
          <w:lang w:eastAsia="es-ES"/>
        </w:rPr>
      </w:pPr>
      <w:r>
        <w:rPr>
          <w:rFonts w:eastAsia="Times New Roman" w:cs="Arial" w:ascii="Arial" w:hAnsi="Arial"/>
          <w:b/>
          <w:color w:val="E36C0A" w:themeColor="accent6" w:themeShade="bf"/>
          <w:sz w:val="18"/>
          <w:szCs w:val="18"/>
          <w:lang w:eastAsia="es-ES"/>
        </w:rPr>
        <w:t xml:space="preserve">Día 6 </w:t>
        <w:tab/>
        <w:t xml:space="preserve"> Banff</w:t>
      </w:r>
    </w:p>
    <w:p>
      <w:pPr>
        <w:pStyle w:val="Normal"/>
        <w:spacing w:lineRule="auto" w:line="240" w:before="0" w:after="0"/>
        <w:jc w:val="both"/>
        <w:rPr>
          <w:rFonts w:ascii="Arial" w:hAnsi="Arial" w:cs="Arial"/>
          <w:sz w:val="18"/>
          <w:szCs w:val="18"/>
        </w:rPr>
      </w:pPr>
      <w:r>
        <w:rPr>
          <w:rFonts w:cs="Arial" w:ascii="Arial" w:hAnsi="Arial"/>
          <w:sz w:val="18"/>
          <w:szCs w:val="18"/>
        </w:rPr>
        <w:t>Día libre para disfrutar del encanto de Banff. Recomendamos caminar por sus calles y realizar algunas compras en Banff Avenue, o bien realizar actividades opcionales como: caminatas en la nieve alrededor de los bosques que rodean el hotel (organizadas por personal del hotel), o bien, realizar un Tour por el Castillo. En las instalaciones del hotel podrá jugar a los bolos, ideal para pasar tiempo con la familia. Alojamiento.</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 xml:space="preserve">Día 7 </w:t>
        <w:tab/>
        <w:t xml:space="preserve"> Banff</w:t>
      </w:r>
    </w:p>
    <w:p>
      <w:pPr>
        <w:pStyle w:val="Normal"/>
        <w:spacing w:lineRule="auto" w:line="240" w:before="0" w:after="0"/>
        <w:jc w:val="both"/>
        <w:rPr>
          <w:rFonts w:ascii="Arial" w:hAnsi="Arial" w:cs="Arial"/>
          <w:sz w:val="18"/>
          <w:szCs w:val="18"/>
        </w:rPr>
      </w:pPr>
      <w:r>
        <w:rPr>
          <w:rFonts w:cs="Arial" w:ascii="Arial" w:hAnsi="Arial"/>
          <w:sz w:val="18"/>
          <w:szCs w:val="18"/>
        </w:rPr>
        <w:t>Día libre Día libre para realizar actividades opcionales. Las montañas Sunshine y Mount Norquay cuentan con más de 100 pistas listas y equipadas para esquiar y practicar snowboard. Si su pasión es la nieve y la aventura, también podrá realizar diferentes actividades opcionales como paseos en motonieve, trineo de perros, o bien, relajarse en las aguas termales de esta región en medio de un paisaje blanco de naturaleza inigualable. Alojamiento.</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 xml:space="preserve">Día 8 </w:t>
        <w:tab/>
        <w:t xml:space="preserve"> Banff – Calgary </w:t>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cs="Arial" w:ascii="Arial" w:hAnsi="Arial"/>
          <w:sz w:val="18"/>
          <w:szCs w:val="18"/>
        </w:rPr>
        <w:t>A la hora conveniente traslado al aeropuerto de Calgary y fin de nuestros servicios</w:t>
      </w:r>
    </w:p>
    <w:p>
      <w:pPr>
        <w:pStyle w:val="Normal"/>
        <w:spacing w:lineRule="auto" w:line="240" w:before="0" w:after="0"/>
        <w:jc w:val="both"/>
        <w:rPr>
          <w:rFonts w:ascii="Arial" w:hAnsi="Arial" w:cs="Arial"/>
          <w:b/>
          <w:b/>
          <w:bCs/>
          <w:i/>
          <w:i/>
          <w:iCs/>
          <w:sz w:val="18"/>
          <w:szCs w:val="18"/>
        </w:rPr>
      </w:pPr>
      <w:r>
        <w:rPr>
          <w:rFonts w:eastAsia="Times New Roman" w:cs="Arial" w:ascii="Arial" w:hAnsi="Arial"/>
          <w:b/>
          <w:bCs/>
          <w:i/>
          <w:iCs/>
          <w:sz w:val="18"/>
          <w:szCs w:val="18"/>
          <w:lang w:eastAsia="es-ES"/>
        </w:rPr>
        <w:t xml:space="preserve">Nota: </w:t>
      </w:r>
      <w:r>
        <w:rPr>
          <w:rFonts w:cs="Arial" w:ascii="Arial" w:hAnsi="Arial"/>
          <w:b/>
          <w:bCs/>
          <w:i/>
          <w:iCs/>
          <w:sz w:val="18"/>
          <w:szCs w:val="18"/>
        </w:rPr>
        <w:t>Todos los servicios son de habla inglesa. Salvo el traslado de entrada que será en habla hispana.</w:t>
      </w:r>
    </w:p>
    <w:p>
      <w:pPr>
        <w:pStyle w:val="Normal"/>
        <w:spacing w:lineRule="auto" w:line="240" w:before="0" w:after="0"/>
        <w:jc w:val="both"/>
        <w:rPr>
          <w:rFonts w:ascii="Arial" w:hAnsi="Arial" w:eastAsia="Times New Roman" w:cs="Arial"/>
          <w:sz w:val="18"/>
          <w:szCs w:val="18"/>
          <w:lang w:eastAsia="es-ES"/>
        </w:rPr>
      </w:pPr>
      <w:r>
        <w:rPr>
          <w:rFonts w:eastAsia="Times New Roman" w:cs="Arial" w:ascii="Arial" w:hAnsi="Arial"/>
          <w:sz w:val="18"/>
          <w:szCs w:val="18"/>
          <w:lang w:eastAsia="es-ES"/>
        </w:rPr>
      </w:r>
    </w:p>
    <w:p>
      <w:pPr>
        <w:pStyle w:val="Normal"/>
        <w:spacing w:lineRule="auto" w:line="240" w:before="0" w:after="0"/>
        <w:jc w:val="right"/>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FIN DE LOS SERVICIOS.</w:t>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HOTELES PREVISTOS O SIMILARES:</w:t>
      </w:r>
    </w:p>
    <w:p>
      <w:pPr>
        <w:pStyle w:val="Normal"/>
        <w:spacing w:lineRule="auto" w:line="240" w:before="0" w:after="0"/>
        <w:rPr>
          <w:rFonts w:ascii="Arial" w:hAnsi="Arial" w:eastAsia="Times New Roman" w:cs="Arial"/>
          <w:b/>
          <w:b/>
          <w:color w:val="E36C0A" w:themeColor="accent6" w:themeShade="bf"/>
          <w:sz w:val="12"/>
          <w:szCs w:val="18"/>
          <w:u w:val="single"/>
          <w:lang w:eastAsia="es-ES"/>
        </w:rPr>
      </w:pPr>
      <w:r>
        <w:rPr>
          <w:rFonts w:eastAsia="Times New Roman" w:cs="Arial" w:ascii="Arial" w:hAnsi="Arial"/>
          <w:b/>
          <w:color w:val="E36C0A" w:themeColor="accent6" w:themeShade="bf"/>
          <w:sz w:val="12"/>
          <w:szCs w:val="18"/>
          <w:u w:val="single"/>
          <w:lang w:eastAsia="es-ES"/>
        </w:rPr>
      </w:r>
    </w:p>
    <w:tbl>
      <w:tblPr>
        <w:tblStyle w:val="Cuadrculamedia1-nfasis6"/>
        <w:tblW w:w="6610" w:type="dxa"/>
        <w:jc w:val="center"/>
        <w:tblInd w:w="0" w:type="dxa"/>
        <w:shd w:fill="FDE4D0" w:val="clear"/>
        <w:tblLayout w:type="fixed"/>
        <w:tblCellMar>
          <w:top w:w="0" w:type="dxa"/>
          <w:left w:w="70" w:type="dxa"/>
          <w:bottom w:w="0" w:type="dxa"/>
          <w:right w:w="70" w:type="dxa"/>
        </w:tblCellMar>
        <w:tblLook w:firstRow="0" w:noVBand="0" w:lastRow="0" w:firstColumn="0" w:lastColumn="0" w:noHBand="0" w:val="0000"/>
      </w:tblPr>
      <w:tblGrid>
        <w:gridCol w:w="1357"/>
        <w:gridCol w:w="3190"/>
        <w:gridCol w:w="2063"/>
      </w:tblGrid>
      <w:tr>
        <w:trPr>
          <w:trHeight w:val="397" w:hRule="atLeast"/>
          <w:cnfStyle w:val="000000100000" w:firstRow="0" w:lastRow="0" w:firstColumn="0" w:lastColumn="0" w:oddVBand="0" w:evenVBand="0" w:oddHBand="1" w:evenHBand="0" w:firstRowFirstColumn="0" w:firstRowLastColumn="0" w:lastRowFirstColumn="0" w:lastRowLastColumn="0"/>
        </w:trPr>
        <w:tc>
          <w:tcPr>
            <w:tcW w:w="1357" w:type="dxa"/>
            <w:cnfStyle w:val="000010000000" w:firstRow="0" w:lastRow="0" w:firstColumn="0" w:lastColumn="0" w:oddVBand="1" w:evenVBand="0" w:oddHBand="0" w:evenHBand="0" w:firstRowFirstColumn="0" w:firstRowLastColumn="0" w:lastRowFirstColumn="0" w:lastRowLastColumn="0"/>
            <w:tcBorders>
              <w:bottom w:val="single" w:sz="6" w:space="0" w:color="F9B074"/>
              <w:right w:val="single" w:sz="6" w:space="0" w:color="F9B074"/>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 w:eastAsia="es-ES" w:bidi="ar-SA"/>
              </w:rPr>
              <w:t>CIUDAD</w:t>
            </w:r>
          </w:p>
        </w:tc>
        <w:tc>
          <w:tcPr>
            <w:tcW w:w="3190" w:type="dxa"/>
            <w:tcBorders>
              <w:left w:val="single" w:sz="6" w:space="0" w:color="F9B074"/>
              <w:bottom w:val="single" w:sz="6" w:space="0" w:color="F9B074"/>
              <w:right w:val="single" w:sz="6" w:space="0" w:color="F9B074"/>
            </w:tcBorders>
            <w:shd w:color="auto" w:fill="E36C0A" w:themeFill="accent6" w:themeFillShade="b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 w:eastAsia="es-ES" w:bidi="ar-SA"/>
              </w:rPr>
              <w:t>HOTEL</w:t>
            </w:r>
          </w:p>
        </w:tc>
        <w:tc>
          <w:tcPr>
            <w:tcW w:w="2063" w:type="dxa"/>
            <w:cnfStyle w:val="000010000000" w:firstRow="0" w:lastRow="0" w:firstColumn="0" w:lastColumn="0" w:oddVBand="1" w:evenVBand="0" w:oddHBand="0" w:evenHBand="0" w:firstRowFirstColumn="0" w:firstRowLastColumn="0" w:lastRowFirstColumn="0" w:lastRowLastColumn="0"/>
            <w:tcBorders>
              <w:left w:val="single" w:sz="6" w:space="0" w:color="F9B074"/>
              <w:bottom w:val="single" w:sz="6" w:space="0" w:color="F9B074"/>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 w:eastAsia="es-ES" w:bidi="ar-SA"/>
              </w:rPr>
              <w:t>CATEGORÍA</w:t>
            </w:r>
          </w:p>
        </w:tc>
      </w:tr>
      <w:tr>
        <w:trPr>
          <w:trHeight w:val="397" w:hRule="atLeast"/>
        </w:trPr>
        <w:tc>
          <w:tcPr>
            <w:tcW w:w="1357" w:type="dxa"/>
            <w:cnfStyle w:val="001000000000" w:firstRow="0" w:lastRow="0" w:firstColumn="1" w:lastColumn="0" w:oddVBand="0" w:evenVBand="0" w:oddHBand="0" w:evenHBand="0" w:firstRowFirstColumn="0" w:firstRowLastColumn="0" w:lastRowFirstColumn="0" w:lastRowLastColumn="0"/>
            <w:tcBorders>
              <w:top w:val="single" w:sz="6" w:space="0" w:color="F9B074"/>
              <w:bottom w:val="single" w:sz="6" w:space="0" w:color="F9B074"/>
              <w:right w:val="single" w:sz="6" w:space="0" w:color="F9B074"/>
            </w:tcBorders>
            <w:shd w:color="auto" w:fill="FFFFFF" w:themeFill="background1" w:val="clear"/>
            <w:vAlign w:val="center"/>
          </w:tcPr>
          <w:p>
            <w:pPr>
              <w:pStyle w:val="Normal"/>
              <w:widowControl w:val="false"/>
              <w:suppressAutoHyphens w:val="true"/>
              <w:spacing w:lineRule="auto" w:line="240" w:before="0" w:after="0"/>
              <w:jc w:val="left"/>
              <w:rPr>
                <w:rFonts w:ascii="Arial" w:hAnsi="Arial" w:eastAsia="Times New Roman" w:cs="Arial"/>
                <w:sz w:val="18"/>
                <w:szCs w:val="18"/>
                <w:lang w:eastAsia="es-ES"/>
              </w:rPr>
            </w:pPr>
            <w:r>
              <w:rPr>
                <w:rFonts w:eastAsia="Times New Roman" w:cs="Arial" w:ascii="Arial" w:hAnsi="Arial"/>
                <w:kern w:val="0"/>
                <w:sz w:val="18"/>
                <w:szCs w:val="18"/>
                <w:lang w:val="es-ES" w:eastAsia="es-ES" w:bidi="ar-SA"/>
              </w:rPr>
              <w:t xml:space="preserve">Calgary </w:t>
            </w:r>
          </w:p>
        </w:tc>
        <w:tc>
          <w:tcPr>
            <w:tcW w:w="3190" w:type="dxa"/>
            <w:tcBorders>
              <w:top w:val="single" w:sz="6" w:space="0" w:color="F9B074"/>
              <w:left w:val="single" w:sz="6" w:space="0" w:color="F9B074"/>
              <w:bottom w:val="single" w:sz="6" w:space="0" w:color="F9B074"/>
              <w:right w:val="single" w:sz="6" w:space="0" w:color="F9B074"/>
            </w:tcBorders>
            <w:shd w:fill="FFFFFF" w:val="clear"/>
            <w:vAlign w:val="center"/>
          </w:tcPr>
          <w:p>
            <w:pPr>
              <w:pStyle w:val="Normal"/>
              <w:widowControl w:val="false"/>
              <w:suppressAutoHyphens w:val="true"/>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8"/>
                <w:szCs w:val="18"/>
                <w:lang w:eastAsia="es-ES"/>
              </w:rPr>
            </w:pPr>
            <w:r>
              <w:rPr>
                <w:rFonts w:cs="Arial" w:ascii="Arial" w:hAnsi="Arial"/>
                <w:kern w:val="0"/>
                <w:sz w:val="18"/>
                <w:szCs w:val="18"/>
                <w:lang w:val="es-ES" w:eastAsia="en-US" w:bidi="ar-SA"/>
              </w:rPr>
              <w:t>Fairmont Palliser</w:t>
            </w:r>
          </w:p>
        </w:tc>
        <w:tc>
          <w:tcPr>
            <w:tcW w:w="2063" w:type="dxa"/>
            <w:tcBorders>
              <w:top w:val="single" w:sz="6" w:space="0" w:color="F9B074"/>
              <w:left w:val="single" w:sz="6" w:space="0" w:color="F9B074"/>
            </w:tcBorders>
            <w:shd w:fill="FFFFFF" w:val="clear"/>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b/>
                <w:sz w:val="18"/>
                <w:szCs w:val="18"/>
                <w:lang w:eastAsia="es-ES"/>
              </w:rPr>
            </w:pPr>
            <w:r>
              <w:rPr>
                <w:rFonts w:eastAsia="Times New Roman" w:cs="Arial" w:ascii="Arial" w:hAnsi="Arial"/>
                <w:b/>
                <w:kern w:val="0"/>
                <w:sz w:val="18"/>
                <w:szCs w:val="18"/>
                <w:lang w:val="es-ES" w:eastAsia="es-ES" w:bidi="ar-SA"/>
              </w:rPr>
              <w:t>Superior</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1357" w:type="dxa"/>
            <w:cnfStyle w:val="001000000000" w:firstRow="0" w:lastRow="0" w:firstColumn="1" w:lastColumn="0" w:oddVBand="0" w:evenVBand="0" w:oddHBand="0" w:evenHBand="0" w:firstRowFirstColumn="0" w:firstRowLastColumn="0" w:lastRowFirstColumn="0" w:lastRowLastColumn="0"/>
            <w:tcBorders>
              <w:top w:val="single" w:sz="6" w:space="0" w:color="F9B074"/>
              <w:bottom w:val="single" w:sz="6" w:space="0" w:color="F9B074"/>
              <w:right w:val="single" w:sz="6" w:space="0" w:color="F9B074"/>
            </w:tcBorders>
            <w:shd w:color="auto" w:fill="FFFFFF" w:themeFill="background1" w:val="clear"/>
            <w:vAlign w:val="center"/>
          </w:tcPr>
          <w:p>
            <w:pPr>
              <w:pStyle w:val="Normal"/>
              <w:widowControl w:val="false"/>
              <w:suppressAutoHyphens w:val="true"/>
              <w:spacing w:lineRule="auto" w:line="240" w:before="0" w:after="0"/>
              <w:jc w:val="left"/>
              <w:rPr>
                <w:rFonts w:ascii="Arial" w:hAnsi="Arial" w:eastAsia="Times New Roman" w:cs="Arial"/>
                <w:sz w:val="18"/>
                <w:szCs w:val="18"/>
                <w:lang w:eastAsia="es-ES"/>
              </w:rPr>
            </w:pPr>
            <w:r>
              <w:rPr>
                <w:rFonts w:eastAsia="Times New Roman" w:cs="Arial" w:ascii="Arial" w:hAnsi="Arial"/>
                <w:kern w:val="0"/>
                <w:sz w:val="18"/>
                <w:szCs w:val="18"/>
                <w:lang w:val="es-ES" w:eastAsia="es-ES" w:bidi="ar-SA"/>
              </w:rPr>
              <w:t>Lake Louise</w:t>
            </w:r>
          </w:p>
        </w:tc>
        <w:tc>
          <w:tcPr>
            <w:tcW w:w="3190" w:type="dxa"/>
            <w:tcBorders>
              <w:top w:val="single" w:sz="6" w:space="0" w:color="F9B074"/>
              <w:left w:val="single" w:sz="6" w:space="0" w:color="F9B074"/>
              <w:bottom w:val="single" w:sz="6" w:space="0" w:color="F9B074"/>
              <w:right w:val="single" w:sz="6" w:space="0" w:color="F9B074"/>
            </w:tcBorders>
            <w:shd w:color="auto" w:fill="FFFFFF" w:themeFill="background1" w:val="clear"/>
            <w:vAlign w:val="center"/>
          </w:tcPr>
          <w:p>
            <w:pPr>
              <w:pStyle w:val="Normal"/>
              <w:widowControl w:val="false"/>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8"/>
                <w:szCs w:val="18"/>
                <w:lang w:eastAsia="es-ES"/>
              </w:rPr>
            </w:pPr>
            <w:r>
              <w:rPr>
                <w:rFonts w:cs="Arial" w:ascii="Arial" w:hAnsi="Arial"/>
                <w:kern w:val="0"/>
                <w:sz w:val="18"/>
                <w:szCs w:val="18"/>
                <w:lang w:val="es-ES" w:eastAsia="en-US" w:bidi="ar-SA"/>
              </w:rPr>
              <w:t>Fairmont Chateau Lake Louise</w:t>
            </w:r>
          </w:p>
        </w:tc>
        <w:tc>
          <w:tcPr>
            <w:tcW w:w="2063" w:type="dxa"/>
            <w:vMerge w:val="restart"/>
            <w:tcBorders>
              <w:top w:val="single" w:sz="6" w:space="0" w:color="F9B074"/>
              <w:left w:val="single" w:sz="6" w:space="0" w:color="F9B074"/>
              <w:bottom w:val="single" w:sz="6" w:space="0" w:color="F9B074"/>
            </w:tcBorders>
            <w:shd w:color="auto" w:fill="FFFFFF" w:themeFill="background1" w:val="clear"/>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b/>
                <w:sz w:val="18"/>
                <w:szCs w:val="18"/>
                <w:lang w:eastAsia="es-ES"/>
              </w:rPr>
            </w:pPr>
            <w:r>
              <w:rPr>
                <w:rFonts w:eastAsia="Times New Roman" w:cs="Arial" w:ascii="Arial" w:hAnsi="Arial"/>
                <w:b/>
                <w:sz w:val="18"/>
                <w:szCs w:val="18"/>
                <w:lang w:eastAsia="es-ES"/>
              </w:rPr>
              <w:t>Lujo</w:t>
            </w:r>
          </w:p>
        </w:tc>
      </w:tr>
      <w:tr>
        <w:trPr>
          <w:trHeight w:val="397" w:hRule="atLeast"/>
        </w:trPr>
        <w:tc>
          <w:tcPr>
            <w:tcW w:w="1357" w:type="dxa"/>
            <w:cnfStyle w:val="001000000000" w:firstRow="0" w:lastRow="0" w:firstColumn="1" w:lastColumn="0" w:oddVBand="0" w:evenVBand="0" w:oddHBand="0" w:evenHBand="0" w:firstRowFirstColumn="0" w:firstRowLastColumn="0" w:lastRowFirstColumn="0" w:lastRowLastColumn="0"/>
            <w:tcBorders>
              <w:top w:val="single" w:sz="6" w:space="0" w:color="F9B074"/>
              <w:right w:val="single" w:sz="6" w:space="0" w:color="F9B074"/>
            </w:tcBorders>
            <w:shd w:color="auto" w:fill="FFFFFF" w:themeFill="background1" w:val="clear"/>
            <w:vAlign w:val="center"/>
          </w:tcPr>
          <w:p>
            <w:pPr>
              <w:pStyle w:val="Normal"/>
              <w:widowControl w:val="false"/>
              <w:suppressAutoHyphens w:val="true"/>
              <w:spacing w:lineRule="auto" w:line="240" w:before="0" w:after="0"/>
              <w:jc w:val="left"/>
              <w:rPr>
                <w:rFonts w:ascii="Arial" w:hAnsi="Arial" w:eastAsia="Times New Roman" w:cs="Arial"/>
                <w:sz w:val="18"/>
                <w:szCs w:val="18"/>
                <w:lang w:eastAsia="es-ES"/>
              </w:rPr>
            </w:pPr>
            <w:r>
              <w:rPr>
                <w:rFonts w:eastAsia="Times New Roman" w:cs="Arial" w:ascii="Arial" w:hAnsi="Arial"/>
                <w:kern w:val="0"/>
                <w:sz w:val="18"/>
                <w:szCs w:val="18"/>
                <w:lang w:val="es-ES" w:eastAsia="es-ES" w:bidi="ar-SA"/>
              </w:rPr>
              <w:t>Banff</w:t>
            </w:r>
          </w:p>
        </w:tc>
        <w:tc>
          <w:tcPr>
            <w:tcW w:w="3190" w:type="dxa"/>
            <w:tcBorders>
              <w:top w:val="single" w:sz="6" w:space="0" w:color="F9B074"/>
              <w:left w:val="single" w:sz="6" w:space="0" w:color="F9B074"/>
              <w:right w:val="single" w:sz="6" w:space="0" w:color="F9B074"/>
            </w:tcBorders>
            <w:shd w:color="auto" w:fill="FFFFFF" w:themeFill="background1" w:val="clear"/>
            <w:vAlign w:val="center"/>
          </w:tcPr>
          <w:p>
            <w:pPr>
              <w:pStyle w:val="Normal"/>
              <w:widowControl w:val="false"/>
              <w:suppressAutoHyphens w:val="true"/>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eastAsia="Calibri" w:cs="Arial" w:ascii="Arial" w:hAnsi="Arial"/>
                <w:kern w:val="0"/>
                <w:sz w:val="18"/>
                <w:szCs w:val="18"/>
                <w:lang w:val="es-ES" w:eastAsia="en-US" w:bidi="ar-SA"/>
              </w:rPr>
              <w:t xml:space="preserve">Fairmont Banff Springs Hotel </w:t>
            </w:r>
          </w:p>
        </w:tc>
        <w:tc>
          <w:tcPr>
            <w:tcW w:w="2063" w:type="dxa"/>
            <w:vMerge w:val="continue"/>
            <w:tcBorders>
              <w:top w:val="single" w:sz="6" w:space="0" w:color="F9B074"/>
              <w:left w:val="single" w:sz="6" w:space="0" w:color="F9B074"/>
              <w:bottom w:val="single" w:sz="6" w:space="0" w:color="F9B074"/>
            </w:tcBorders>
            <w:shd w:color="auto" w:fill="FFFFFF" w:themeFill="background1" w:val="clear"/>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b/>
                <w:sz w:val="18"/>
                <w:szCs w:val="18"/>
                <w:lang w:eastAsia="es-ES"/>
              </w:rPr>
            </w:pPr>
            <w:r>
              <w:rPr>
                <w:rFonts w:eastAsia="Times New Roman" w:cs="Arial" w:ascii="Arial" w:hAnsi="Arial"/>
                <w:b/>
                <w:sz w:val="18"/>
                <w:szCs w:val="18"/>
                <w:lang w:eastAsia="es-ES"/>
              </w:rPr>
            </w:r>
          </w:p>
        </w:tc>
      </w:tr>
    </w:tbl>
    <w:p>
      <w:pPr>
        <w:pStyle w:val="Normal"/>
        <w:spacing w:lineRule="auto" w:line="240" w:before="0" w:after="0"/>
        <w:rPr>
          <w:rFonts w:ascii="Arial" w:hAnsi="Arial" w:cs="Arial"/>
          <w:b/>
          <w:b/>
          <w:bCs/>
          <w:i/>
          <w:i/>
          <w:iCs/>
          <w:sz w:val="18"/>
          <w:szCs w:val="18"/>
        </w:rPr>
      </w:pPr>
      <w:r>
        <w:rPr>
          <w:rFonts w:cs="Arial" w:ascii="Arial" w:hAnsi="Arial"/>
          <w:b/>
          <w:bCs/>
          <w:i/>
          <w:iCs/>
          <w:sz w:val="18"/>
          <w:szCs w:val="18"/>
        </w:rPr>
        <w:t>Nota: Hoteles mencionados solo son informativos, los hoteles confirmados se les hará saber al momento de realizar la reservación. Habitaciones estándar (Fairmont) y sin vistas. En caso de preferir habitaciones superiores por favor consultar.</w:t>
      </w:r>
    </w:p>
    <w:p>
      <w:pPr>
        <w:pStyle w:val="Normal"/>
        <w:spacing w:lineRule="auto" w:line="240" w:before="0" w:after="0"/>
        <w:rPr>
          <w:rFonts w:ascii="Arial" w:hAnsi="Arial" w:cs="Arial"/>
          <w:b/>
          <w:b/>
          <w:bCs/>
          <w:i/>
          <w:i/>
          <w:iCs/>
          <w:sz w:val="18"/>
          <w:szCs w:val="18"/>
        </w:rPr>
      </w:pPr>
      <w:r>
        <w:rPr>
          <w:rFonts w:cs="Arial" w:ascii="Arial" w:hAnsi="Arial"/>
          <w:b/>
          <w:bCs/>
          <w:i/>
          <w:iCs/>
          <w:sz w:val="18"/>
          <w:szCs w:val="18"/>
        </w:rPr>
        <w:t xml:space="preserve">En el caso del hotel en Calgary la categoría sera superior,  mientras que en </w:t>
      </w:r>
      <w:r>
        <w:rPr>
          <w:rFonts w:eastAsia="Times New Roman" w:cs="Arial" w:ascii="Arial" w:hAnsi="Arial"/>
          <w:b/>
          <w:bCs/>
          <w:i/>
          <w:iCs/>
          <w:kern w:val="0"/>
          <w:sz w:val="18"/>
          <w:szCs w:val="18"/>
          <w:lang w:val="es-ES" w:eastAsia="es-ES" w:bidi="ar-SA"/>
        </w:rPr>
        <w:t xml:space="preserve">Lake Louise y Banff seran categoria lujo. </w:t>
      </w:r>
    </w:p>
    <w:p>
      <w:pPr>
        <w:pStyle w:val="Normal"/>
        <w:spacing w:lineRule="auto" w:line="240" w:before="0" w:after="0"/>
        <w:rPr>
          <w:rFonts w:ascii="Arial" w:hAnsi="Arial" w:eastAsia="Times New Roman" w:cs="Arial"/>
          <w:b/>
          <w:b/>
          <w:color w:val="E36C0A" w:themeColor="accent6" w:themeShade="bf"/>
          <w:sz w:val="20"/>
          <w:szCs w:val="20"/>
          <w:u w:val="single"/>
          <w:lang w:eastAsia="es-ES"/>
        </w:rPr>
      </w:pPr>
      <w:r>
        <w:rPr>
          <w:rFonts w:eastAsia="Times New Roman" w:cs="Arial" w:ascii="Arial" w:hAnsi="Arial"/>
          <w:b/>
          <w:color w:val="E36C0A" w:themeColor="accent6" w:themeShade="bf"/>
          <w:sz w:val="20"/>
          <w:szCs w:val="20"/>
          <w:u w:val="single"/>
          <w:lang w:eastAsia="es-ES"/>
        </w:rPr>
      </w:r>
    </w:p>
    <w:p>
      <w:pPr>
        <w:pStyle w:val="Normal"/>
        <w:spacing w:lineRule="auto" w:line="240" w:before="0" w:after="0"/>
        <w:rPr>
          <w:rFonts w:ascii="Arial" w:hAnsi="Arial" w:eastAsia="Times New Roman" w:cs="Arial"/>
          <w:b/>
          <w:b/>
          <w:color w:val="E36C0A" w:themeColor="accent6" w:themeShade="bf"/>
          <w:sz w:val="18"/>
          <w:szCs w:val="20"/>
          <w:lang w:eastAsia="es-ES"/>
        </w:rPr>
      </w:pPr>
      <w:r>
        <w:rPr>
          <w:rFonts w:eastAsia="Times New Roman" w:cs="Arial" w:ascii="Arial" w:hAnsi="Arial"/>
          <w:b/>
          <w:color w:val="E36C0A" w:themeColor="accent6" w:themeShade="bf"/>
          <w:sz w:val="18"/>
          <w:szCs w:val="20"/>
          <w:u w:val="single"/>
          <w:lang w:eastAsia="es-ES"/>
        </w:rPr>
        <w:t>PRECIO POR PERSONA EN USD</w:t>
      </w:r>
      <w:r>
        <w:rPr>
          <w:rFonts w:eastAsia="Times New Roman" w:cs="Arial" w:ascii="Arial" w:hAnsi="Arial"/>
          <w:b/>
          <w:color w:val="E36C0A" w:themeColor="accent6" w:themeShade="bf"/>
          <w:sz w:val="18"/>
          <w:szCs w:val="20"/>
          <w:lang w:eastAsia="es-ES"/>
        </w:rPr>
        <w:t xml:space="preserve">:  </w:t>
      </w:r>
    </w:p>
    <w:p>
      <w:pPr>
        <w:pStyle w:val="Normal"/>
        <w:spacing w:lineRule="auto" w:line="240" w:before="0" w:after="0"/>
        <w:rPr>
          <w:rFonts w:ascii="Arial" w:hAnsi="Arial" w:eastAsia="Times New Roman" w:cs="Arial"/>
          <w:b/>
          <w:b/>
          <w:color w:val="E36C0A" w:themeColor="accent6" w:themeShade="bf"/>
          <w:sz w:val="10"/>
          <w:szCs w:val="12"/>
          <w:lang w:eastAsia="es-ES"/>
        </w:rPr>
      </w:pPr>
      <w:r>
        <w:rPr>
          <w:rFonts w:eastAsia="Times New Roman" w:cs="Arial" w:ascii="Arial" w:hAnsi="Arial"/>
          <w:b/>
          <w:color w:val="E36C0A" w:themeColor="accent6" w:themeShade="bf"/>
          <w:sz w:val="10"/>
          <w:szCs w:val="12"/>
          <w:lang w:eastAsia="es-ES"/>
        </w:rPr>
      </w:r>
    </w:p>
    <w:tbl>
      <w:tblPr>
        <w:tblW w:w="10263" w:type="dxa"/>
        <w:jc w:val="left"/>
        <w:tblInd w:w="-117" w:type="dxa"/>
        <w:tblLayout w:type="fixed"/>
        <w:tblCellMar>
          <w:top w:w="0" w:type="dxa"/>
          <w:left w:w="70" w:type="dxa"/>
          <w:bottom w:w="0" w:type="dxa"/>
          <w:right w:w="70" w:type="dxa"/>
        </w:tblCellMar>
        <w:tblLook w:firstRow="1" w:noVBand="1" w:lastRow="0" w:firstColumn="1" w:lastColumn="0" w:noHBand="0" w:val="04a0"/>
      </w:tblPr>
      <w:tblGrid>
        <w:gridCol w:w="2150"/>
        <w:gridCol w:w="1537"/>
        <w:gridCol w:w="1525"/>
        <w:gridCol w:w="1702"/>
        <w:gridCol w:w="1535"/>
        <w:gridCol w:w="1813"/>
      </w:tblGrid>
      <w:tr>
        <w:trPr>
          <w:trHeight w:val="510" w:hRule="atLeast"/>
        </w:trPr>
        <w:tc>
          <w:tcPr>
            <w:tcW w:w="10262" w:type="dxa"/>
            <w:gridSpan w:val="6"/>
            <w:tcBorders>
              <w:bottom w:val="single" w:sz="4" w:space="0" w:color="E26B0A"/>
            </w:tcBorders>
            <w:shd w:color="auto" w:fill="262626" w:themeFill="text1" w:themeFillTint="d9"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SUPERIOR</w:t>
            </w:r>
          </w:p>
        </w:tc>
      </w:tr>
      <w:tr>
        <w:trPr>
          <w:trHeight w:val="510" w:hRule="atLeast"/>
        </w:trPr>
        <w:tc>
          <w:tcPr>
            <w:tcW w:w="2150" w:type="dxa"/>
            <w:tcBorders>
              <w:left w:val="single" w:sz="4" w:space="0" w:color="E26B0A"/>
              <w:bottom w:val="single" w:sz="4" w:space="0" w:color="E26B0A"/>
              <w:right w:val="single" w:sz="4" w:space="0" w:color="E26B0A"/>
            </w:tcBorders>
            <w:shd w:color="auto"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themeColor="background1" w:themeShade="ff" w:themeTint="ff"/>
                <w:sz w:val="18"/>
                <w:szCs w:val="18"/>
                <w:lang w:eastAsia="es-ES"/>
              </w:rPr>
              <w:t xml:space="preserve">SALIDAS : DIARIAS </w:t>
            </w:r>
          </w:p>
        </w:tc>
        <w:tc>
          <w:tcPr>
            <w:tcW w:w="1537" w:type="dxa"/>
            <w:tcBorders>
              <w:bottom w:val="single" w:sz="4" w:space="0" w:color="E26B0A"/>
              <w:right w:val="single" w:sz="4" w:space="0" w:color="E26B0A"/>
            </w:tcBorders>
            <w:shd w:color="auto"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525" w:type="dxa"/>
            <w:tcBorders>
              <w:bottom w:val="single" w:sz="4" w:space="0" w:color="E26B0A"/>
              <w:right w:val="single" w:sz="4" w:space="0" w:color="E26B0A"/>
            </w:tcBorders>
            <w:shd w:color="auto"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702" w:type="dxa"/>
            <w:tcBorders>
              <w:bottom w:val="single" w:sz="4" w:space="0" w:color="E26B0A"/>
              <w:right w:val="single" w:sz="4" w:space="0" w:color="E26B0A"/>
            </w:tcBorders>
            <w:shd w:color="auto"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535" w:type="dxa"/>
            <w:tcBorders>
              <w:bottom w:val="single" w:sz="4" w:space="0" w:color="E26B0A"/>
              <w:right w:val="single" w:sz="4" w:space="0" w:color="E26B0A"/>
            </w:tcBorders>
            <w:shd w:color="auto"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CUÁDRUPLE</w:t>
            </w:r>
          </w:p>
        </w:tc>
        <w:tc>
          <w:tcPr>
            <w:tcW w:w="1813" w:type="dxa"/>
            <w:tcBorders>
              <w:bottom w:val="single" w:sz="4" w:space="0" w:color="E26B0A"/>
              <w:right w:val="single" w:sz="4" w:space="0" w:color="E26B0A"/>
            </w:tcBorders>
            <w:shd w:color="auto"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0-18</w:t>
            </w:r>
          </w:p>
        </w:tc>
      </w:tr>
      <w:tr>
        <w:trPr>
          <w:trHeight w:val="510" w:hRule="atLeast"/>
        </w:trPr>
        <w:tc>
          <w:tcPr>
            <w:tcW w:w="2150" w:type="dxa"/>
            <w:tcBorders>
              <w:left w:val="single" w:sz="4" w:space="0" w:color="E26B0A"/>
              <w:bottom w:val="single" w:sz="4" w:space="0" w:color="E26B0A"/>
              <w:right w:val="single" w:sz="4" w:space="0" w:color="E26B0A"/>
            </w:tcBorders>
            <w:shd w:color="auto" w:fill="FFFFFF" w:themeFill="background1" w:val="clear"/>
            <w:vAlign w:val="center"/>
          </w:tcPr>
          <w:p>
            <w:pPr>
              <w:pStyle w:val="Normal"/>
              <w:widowControl w:val="false"/>
              <w:suppressAutoHyphens w:val="true"/>
              <w:spacing w:lineRule="auto" w:line="240" w:before="0" w:afterAutospacing="0" w:after="43"/>
              <w:ind w:left="1410" w:hanging="1410"/>
              <w:jc w:val="both"/>
              <w:rPr>
                <w:rFonts w:ascii="Arial" w:hAnsi="Arial" w:eastAsia="Times New Roman" w:cs="Arial"/>
                <w:color w:val="000000"/>
                <w:sz w:val="18"/>
                <w:szCs w:val="18"/>
                <w:lang w:eastAsia="es-ES"/>
              </w:rPr>
            </w:pPr>
            <w:r>
              <w:rPr>
                <w:rFonts w:eastAsia="Times New Roman" w:cs="Arial" w:ascii="Arial" w:hAnsi="Arial"/>
                <w:b/>
                <w:bCs/>
                <w:color w:val="000000" w:themeColor="text1" w:themeShade="ff" w:themeTint="ff"/>
                <w:kern w:val="0"/>
                <w:sz w:val="18"/>
                <w:szCs w:val="18"/>
                <w:lang w:val="es-ES" w:eastAsia="es-ES" w:bidi="ar-SA"/>
              </w:rPr>
              <w:t xml:space="preserve">21/12/2024 </w:t>
            </w:r>
            <w:r>
              <w:rPr>
                <w:rFonts w:eastAsia="Times New Roman" w:cs="Arial" w:ascii="Arial" w:hAnsi="Arial"/>
                <w:b/>
                <w:bCs/>
                <w:color w:val="000000" w:themeColor="text1" w:themeShade="ff" w:themeTint="ff"/>
                <w:kern w:val="0"/>
                <w:sz w:val="18"/>
                <w:szCs w:val="18"/>
                <w:lang w:val="es-ES" w:eastAsia="es-ES" w:bidi="ar-SA"/>
              </w:rPr>
              <w:t>y 28</w:t>
            </w:r>
            <w:r>
              <w:rPr>
                <w:rFonts w:eastAsia="Times New Roman" w:cs="Arial" w:ascii="Arial" w:hAnsi="Arial"/>
                <w:b/>
                <w:bCs/>
                <w:color w:val="000000" w:themeColor="text1" w:themeShade="ff" w:themeTint="ff"/>
                <w:kern w:val="0"/>
                <w:sz w:val="18"/>
                <w:szCs w:val="18"/>
                <w:lang w:val="es-ES" w:eastAsia="es-ES" w:bidi="ar-SA"/>
              </w:rPr>
              <w:t>/1</w:t>
            </w:r>
            <w:r>
              <w:rPr>
                <w:rFonts w:eastAsia="Times New Roman" w:cs="Arial" w:ascii="Arial" w:hAnsi="Arial"/>
                <w:b/>
                <w:bCs/>
                <w:color w:val="000000" w:themeColor="text1" w:themeShade="ff" w:themeTint="ff"/>
                <w:kern w:val="0"/>
                <w:sz w:val="18"/>
                <w:szCs w:val="18"/>
                <w:lang w:val="es-ES" w:eastAsia="es-ES" w:bidi="ar-SA"/>
              </w:rPr>
              <w:t>2</w:t>
            </w:r>
            <w:r>
              <w:rPr>
                <w:rFonts w:eastAsia="Times New Roman" w:cs="Arial" w:ascii="Arial" w:hAnsi="Arial"/>
                <w:b/>
                <w:bCs/>
                <w:color w:val="000000" w:themeColor="text1" w:themeShade="ff" w:themeTint="ff"/>
                <w:kern w:val="0"/>
                <w:sz w:val="18"/>
                <w:szCs w:val="18"/>
                <w:lang w:val="es-ES" w:eastAsia="es-ES" w:bidi="ar-SA"/>
              </w:rPr>
              <w:t>/202</w:t>
            </w:r>
            <w:r>
              <w:rPr>
                <w:rFonts w:eastAsia="Times New Roman" w:cs="Arial" w:ascii="Arial" w:hAnsi="Arial"/>
                <w:b/>
                <w:bCs/>
                <w:color w:val="000000" w:themeColor="text1" w:themeShade="ff" w:themeTint="ff"/>
                <w:kern w:val="0"/>
                <w:sz w:val="18"/>
                <w:szCs w:val="18"/>
                <w:lang w:val="es-ES" w:eastAsia="es-ES" w:bidi="ar-SA"/>
              </w:rPr>
              <w:t>4</w:t>
            </w:r>
          </w:p>
        </w:tc>
        <w:tc>
          <w:tcPr>
            <w:tcW w:w="1537" w:type="dxa"/>
            <w:tcBorders>
              <w:bottom w:val="single" w:sz="4" w:space="0" w:color="E26B0A"/>
              <w:right w:val="single" w:sz="4" w:space="0" w:color="E26B0A"/>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6,633</w:t>
            </w:r>
          </w:p>
        </w:tc>
        <w:tc>
          <w:tcPr>
            <w:tcW w:w="1525" w:type="dxa"/>
            <w:tcBorders>
              <w:bottom w:val="single" w:sz="4" w:space="0" w:color="E26B0A"/>
              <w:right w:val="single" w:sz="4" w:space="0" w:color="E26B0A"/>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3,489</w:t>
            </w:r>
          </w:p>
        </w:tc>
        <w:tc>
          <w:tcPr>
            <w:tcW w:w="1702" w:type="dxa"/>
            <w:tcBorders>
              <w:bottom w:val="single" w:sz="4" w:space="0" w:color="E26B0A"/>
              <w:right w:val="single" w:sz="4" w:space="0" w:color="E26B0A"/>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3,102</w:t>
            </w:r>
          </w:p>
        </w:tc>
        <w:tc>
          <w:tcPr>
            <w:tcW w:w="1535" w:type="dxa"/>
            <w:tcBorders>
              <w:bottom w:val="single" w:sz="4" w:space="0" w:color="E26B0A"/>
              <w:right w:val="single" w:sz="4" w:space="0" w:color="E26B0A"/>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2,507</w:t>
            </w:r>
          </w:p>
        </w:tc>
        <w:tc>
          <w:tcPr>
            <w:tcW w:w="1813" w:type="dxa"/>
            <w:tcBorders>
              <w:bottom w:val="single" w:sz="4" w:space="0" w:color="E26B0A"/>
              <w:right w:val="single" w:sz="4" w:space="0" w:color="E26B0A"/>
            </w:tcBorders>
            <w:shd w:color="auto" w:fill="FFFFFF" w:themeFill="background1"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USD         830</w:t>
            </w:r>
          </w:p>
        </w:tc>
      </w:tr>
    </w:tbl>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t xml:space="preserve">Notas: </w:t>
      </w:r>
    </w:p>
    <w:p>
      <w:pPr>
        <w:pStyle w:val="ListParagraph"/>
        <w:numPr>
          <w:ilvl w:val="0"/>
          <w:numId w:val="7"/>
        </w:numPr>
        <w:spacing w:lineRule="auto" w:line="240" w:before="0" w:after="0"/>
        <w:contextualSpacing/>
        <w:jc w:val="both"/>
        <w:rPr>
          <w:rFonts w:ascii="Arial" w:hAnsi="Arial" w:cs="Arial"/>
          <w:b/>
          <w:b/>
          <w:bCs/>
          <w:i/>
          <w:i/>
          <w:iCs/>
          <w:sz w:val="18"/>
          <w:szCs w:val="18"/>
        </w:rPr>
      </w:pPr>
      <w:r>
        <w:rPr>
          <w:rFonts w:cs="Arial" w:ascii="Arial" w:hAnsi="Arial"/>
          <w:b/>
          <w:bCs/>
          <w:i/>
          <w:iCs/>
          <w:sz w:val="18"/>
          <w:szCs w:val="18"/>
        </w:rPr>
        <w:t>La tarifa de menor aplica compartiendo habitación con dos adultos, sin derecho a cama. En Canadá las habitaciones triples y cuádruples no constan de tres o cuatro camas, sino dos camas donde deberán acomodarse los clientes.</w:t>
      </w:r>
    </w:p>
    <w:p>
      <w:pPr>
        <w:pStyle w:val="ListParagraph"/>
        <w:widowControl w:val="false"/>
        <w:numPr>
          <w:ilvl w:val="0"/>
          <w:numId w:val="7"/>
        </w:numPr>
        <w:spacing w:lineRule="auto" w:line="240" w:before="0" w:after="0"/>
        <w:contextualSpacing/>
        <w:jc w:val="both"/>
        <w:textAlignment w:val="baseline"/>
        <w:rPr>
          <w:rFonts w:ascii="Arial" w:hAnsi="Arial" w:cs="Arial"/>
          <w:b/>
          <w:b/>
          <w:bCs/>
          <w:i/>
          <w:i/>
          <w:iCs/>
          <w:sz w:val="18"/>
          <w:szCs w:val="18"/>
        </w:rPr>
      </w:pPr>
      <w:r>
        <w:rPr>
          <w:rFonts w:cs="Arial" w:ascii="Arial" w:hAnsi="Arial"/>
          <w:b/>
          <w:bCs/>
          <w:i/>
          <w:iCs/>
          <w:sz w:val="18"/>
          <w:szCs w:val="18"/>
        </w:rPr>
        <w:t xml:space="preserve">Las habitaciones en Canadá constan de 1 o 2 camas, para habitaciones triples y cuádruples los clientes deberán acomodarse en dicho número de camas. En caso de solicitar una cama supletoria, ha de hacerse a la llegada del hotel y, sujeto a disponibilidad del hotel y capacidad de la habitación. </w:t>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 xml:space="preserve">EL PRECIO INCLUYE </w:t>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Spacing"/>
        <w:widowControl w:val="false"/>
        <w:numPr>
          <w:ilvl w:val="0"/>
          <w:numId w:val="4"/>
        </w:numPr>
        <w:jc w:val="both"/>
        <w:textAlignment w:val="baseline"/>
        <w:rPr>
          <w:rFonts w:ascii="Arial" w:hAnsi="Arial" w:cs="Arial"/>
          <w:b/>
          <w:b/>
          <w:i/>
          <w:i/>
          <w:sz w:val="18"/>
          <w:szCs w:val="18"/>
          <w:lang w:val="es-ES_tradnl" w:eastAsia="es-ES"/>
        </w:rPr>
      </w:pPr>
      <w:r>
        <w:rPr>
          <w:rFonts w:cs="Arial" w:ascii="Arial" w:hAnsi="Arial"/>
          <w:sz w:val="18"/>
          <w:szCs w:val="18"/>
        </w:rPr>
        <w:t xml:space="preserve">01 noche de alojamiento en Calgary </w:t>
      </w:r>
    </w:p>
    <w:p>
      <w:pPr>
        <w:pStyle w:val="NoSpacing"/>
        <w:widowControl w:val="false"/>
        <w:numPr>
          <w:ilvl w:val="0"/>
          <w:numId w:val="4"/>
        </w:numPr>
        <w:jc w:val="both"/>
        <w:textAlignment w:val="baseline"/>
        <w:rPr>
          <w:rFonts w:ascii="Arial" w:hAnsi="Arial" w:cs="Arial"/>
          <w:b/>
          <w:b/>
          <w:i/>
          <w:i/>
          <w:sz w:val="18"/>
          <w:szCs w:val="18"/>
          <w:lang w:val="es-ES_tradnl" w:eastAsia="es-ES"/>
        </w:rPr>
      </w:pPr>
      <w:r>
        <w:rPr>
          <w:rFonts w:cs="Arial" w:ascii="Arial" w:hAnsi="Arial"/>
          <w:sz w:val="18"/>
          <w:szCs w:val="18"/>
        </w:rPr>
        <w:t xml:space="preserve">03 noches de alojamiento en Lake Louise </w:t>
      </w:r>
    </w:p>
    <w:p>
      <w:pPr>
        <w:pStyle w:val="NoSpacing"/>
        <w:widowControl w:val="false"/>
        <w:numPr>
          <w:ilvl w:val="0"/>
          <w:numId w:val="4"/>
        </w:numPr>
        <w:jc w:val="both"/>
        <w:textAlignment w:val="baseline"/>
        <w:rPr>
          <w:rFonts w:ascii="Arial" w:hAnsi="Arial" w:cs="Arial"/>
          <w:b/>
          <w:b/>
          <w:i/>
          <w:i/>
          <w:sz w:val="18"/>
          <w:szCs w:val="18"/>
          <w:lang w:val="es-ES_tradnl" w:eastAsia="es-ES"/>
        </w:rPr>
      </w:pPr>
      <w:r>
        <w:rPr>
          <w:rFonts w:cs="Arial" w:ascii="Arial" w:hAnsi="Arial"/>
          <w:sz w:val="18"/>
          <w:szCs w:val="18"/>
        </w:rPr>
        <w:t xml:space="preserve">03 noches de alojamiento en Banff </w:t>
      </w:r>
    </w:p>
    <w:p>
      <w:pPr>
        <w:pStyle w:val="ListParagraph"/>
        <w:numPr>
          <w:ilvl w:val="0"/>
          <w:numId w:val="4"/>
        </w:numPr>
        <w:spacing w:lineRule="auto" w:line="240" w:before="0" w:after="0"/>
        <w:contextualSpacing/>
        <w:jc w:val="both"/>
        <w:rPr>
          <w:rFonts w:ascii="Arial" w:hAnsi="Arial" w:cs="Arial"/>
          <w:sz w:val="18"/>
          <w:szCs w:val="18"/>
          <w:lang w:val="es-MX"/>
        </w:rPr>
      </w:pPr>
      <w:r>
        <w:rPr>
          <w:rFonts w:cs="Arial" w:ascii="Arial" w:hAnsi="Arial"/>
          <w:sz w:val="18"/>
          <w:szCs w:val="18"/>
          <w:lang w:val="es-MX"/>
        </w:rPr>
        <w:t>Cargos por servicio en los hoteles (maleteros y limpieza)</w:t>
      </w:r>
    </w:p>
    <w:p>
      <w:pPr>
        <w:pStyle w:val="NoSpacing"/>
        <w:widowControl w:val="false"/>
        <w:numPr>
          <w:ilvl w:val="0"/>
          <w:numId w:val="4"/>
        </w:numPr>
        <w:jc w:val="both"/>
        <w:textAlignment w:val="baseline"/>
        <w:rPr>
          <w:rFonts w:ascii="Arial" w:hAnsi="Arial" w:cs="Arial"/>
          <w:b/>
          <w:b/>
          <w:i/>
          <w:i/>
          <w:sz w:val="18"/>
          <w:szCs w:val="18"/>
          <w:lang w:val="es-ES_tradnl" w:eastAsia="es-ES"/>
        </w:rPr>
      </w:pPr>
      <w:r>
        <w:rPr>
          <w:rFonts w:cs="Arial" w:ascii="Arial" w:hAnsi="Arial"/>
          <w:sz w:val="18"/>
          <w:szCs w:val="18"/>
        </w:rPr>
        <w:t xml:space="preserve">Traslados mencionados en el itinerario </w:t>
      </w:r>
    </w:p>
    <w:p>
      <w:pPr>
        <w:pStyle w:val="NoSpacing"/>
        <w:widowControl w:val="false"/>
        <w:numPr>
          <w:ilvl w:val="0"/>
          <w:numId w:val="4"/>
        </w:numPr>
        <w:jc w:val="both"/>
        <w:textAlignment w:val="baseline"/>
        <w:rPr>
          <w:rFonts w:ascii="Arial" w:hAnsi="Arial" w:cs="Arial"/>
          <w:b/>
          <w:b/>
          <w:i/>
          <w:i/>
          <w:sz w:val="18"/>
          <w:szCs w:val="18"/>
          <w:lang w:val="es-ES_tradnl" w:eastAsia="es-ES"/>
        </w:rPr>
      </w:pPr>
      <w:r>
        <w:rPr>
          <w:rFonts w:cs="Arial" w:ascii="Arial" w:hAnsi="Arial"/>
          <w:sz w:val="18"/>
          <w:szCs w:val="18"/>
        </w:rPr>
        <w:t>Paquete de Inclusimoes de F. Chateau Lake Louise y F. Banff Springs</w:t>
      </w:r>
    </w:p>
    <w:p>
      <w:pPr>
        <w:pStyle w:val="NoSpacing"/>
        <w:widowControl w:val="false"/>
        <w:numPr>
          <w:ilvl w:val="0"/>
          <w:numId w:val="4"/>
        </w:numPr>
        <w:jc w:val="both"/>
        <w:textAlignment w:val="baseline"/>
        <w:rPr>
          <w:rFonts w:ascii="Arial" w:hAnsi="Arial" w:cs="Arial"/>
          <w:b/>
          <w:b/>
          <w:i/>
          <w:i/>
          <w:sz w:val="18"/>
          <w:szCs w:val="18"/>
          <w:lang w:val="es-ES_tradnl" w:eastAsia="es-ES"/>
        </w:rPr>
      </w:pPr>
      <w:r>
        <w:rPr>
          <w:rFonts w:cs="Arial" w:ascii="Arial" w:hAnsi="Arial"/>
          <w:b/>
          <w:i/>
          <w:sz w:val="18"/>
          <w:szCs w:val="18"/>
          <w:lang w:val="es-ES_tradnl" w:eastAsia="es-ES"/>
        </w:rPr>
        <w:t>Seguro de viaje con cobertura COVID</w:t>
      </w:r>
    </w:p>
    <w:p>
      <w:pPr>
        <w:pStyle w:val="NoSpacing"/>
        <w:widowControl w:val="false"/>
        <w:numPr>
          <w:ilvl w:val="0"/>
          <w:numId w:val="4"/>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Asistencia en español 24hrs</w:t>
      </w:r>
    </w:p>
    <w:p>
      <w:pPr>
        <w:pStyle w:val="NoSpacing"/>
        <w:widowControl w:val="false"/>
        <w:jc w:val="both"/>
        <w:textAlignment w:val="baseline"/>
        <w:rPr>
          <w:rFonts w:ascii="Arial" w:hAnsi="Arial" w:cs="Arial"/>
          <w:sz w:val="18"/>
          <w:szCs w:val="18"/>
          <w:lang w:val="es-ES_tradnl" w:eastAsia="es-ES"/>
        </w:rPr>
      </w:pPr>
      <w:r>
        <w:rPr>
          <w:rFonts w:cs="Arial" w:ascii="Arial" w:hAnsi="Arial"/>
          <w:sz w:val="18"/>
          <w:szCs w:val="18"/>
          <w:lang w:val="es-ES_tradnl" w:eastAsia="es-ES"/>
        </w:rPr>
      </w:r>
    </w:p>
    <w:p>
      <w:pPr>
        <w:pStyle w:val="Normal"/>
        <w:spacing w:lineRule="auto" w:line="240" w:before="0" w:after="0"/>
        <w:jc w:val="both"/>
        <w:rPr>
          <w:rFonts w:ascii="Arial" w:hAnsi="Arial" w:cs="Arial"/>
          <w:b/>
          <w:b/>
          <w:bCs/>
          <w:color w:val="000000"/>
          <w:sz w:val="18"/>
          <w:szCs w:val="18"/>
          <w:lang w:val="es-MX" w:eastAsia="es-ES"/>
        </w:rPr>
      </w:pPr>
      <w:r>
        <w:rPr>
          <w:rFonts w:cs="Arial" w:ascii="Arial" w:hAnsi="Arial"/>
          <w:b/>
          <w:bCs/>
          <w:color w:val="000000"/>
          <w:sz w:val="18"/>
          <w:szCs w:val="18"/>
          <w:lang w:val="es-MX" w:eastAsia="es-ES"/>
        </w:rPr>
        <w:t>Fairmont Banff Springs: Inclusiones</w:t>
      </w:r>
    </w:p>
    <w:p>
      <w:pPr>
        <w:pStyle w:val="ListParagraph"/>
        <w:numPr>
          <w:ilvl w:val="0"/>
          <w:numId w:val="5"/>
        </w:numPr>
        <w:spacing w:lineRule="auto" w:line="240" w:before="0" w:after="0"/>
        <w:contextualSpacing/>
        <w:jc w:val="both"/>
        <w:rPr>
          <w:rFonts w:ascii="Arial" w:hAnsi="Arial" w:cs="Arial"/>
          <w:color w:val="000000"/>
          <w:sz w:val="18"/>
          <w:szCs w:val="18"/>
          <w:lang w:val="es-MX" w:eastAsia="es-ES"/>
        </w:rPr>
      </w:pPr>
      <w:r>
        <w:rPr>
          <w:rFonts w:cs="Arial" w:ascii="Arial" w:hAnsi="Arial"/>
          <w:color w:val="000000"/>
          <w:sz w:val="18"/>
          <w:szCs w:val="18"/>
          <w:lang w:val="es-MX" w:eastAsia="es-ES"/>
        </w:rPr>
        <w:t>Servicio de transporte al restaurante y pub Waldhaus, al campo de golf y a la casa club</w:t>
      </w:r>
    </w:p>
    <w:p>
      <w:pPr>
        <w:pStyle w:val="ListParagraph"/>
        <w:numPr>
          <w:ilvl w:val="0"/>
          <w:numId w:val="5"/>
        </w:numPr>
        <w:spacing w:lineRule="auto" w:line="240" w:before="0" w:after="0"/>
        <w:contextualSpacing/>
        <w:jc w:val="both"/>
        <w:rPr>
          <w:rFonts w:ascii="Arial" w:hAnsi="Arial" w:cs="Arial"/>
          <w:color w:val="000000"/>
          <w:sz w:val="18"/>
          <w:szCs w:val="18"/>
          <w:lang w:val="es-MX" w:eastAsia="es-ES"/>
        </w:rPr>
      </w:pPr>
      <w:r>
        <w:rPr>
          <w:rFonts w:cs="Arial" w:ascii="Arial" w:hAnsi="Arial"/>
          <w:color w:val="000000"/>
          <w:sz w:val="18"/>
          <w:szCs w:val="18"/>
          <w:lang w:val="es-MX" w:eastAsia="es-ES"/>
        </w:rPr>
        <w:t>Transporte público gratuito (pases de transporte ROAM disponibles)</w:t>
      </w:r>
    </w:p>
    <w:p>
      <w:pPr>
        <w:pStyle w:val="ListParagraph"/>
        <w:numPr>
          <w:ilvl w:val="0"/>
          <w:numId w:val="5"/>
        </w:numPr>
        <w:spacing w:lineRule="auto" w:line="240" w:before="0" w:after="0"/>
        <w:contextualSpacing/>
        <w:jc w:val="both"/>
        <w:rPr>
          <w:rFonts w:ascii="Arial" w:hAnsi="Arial" w:cs="Arial"/>
          <w:color w:val="000000"/>
          <w:sz w:val="18"/>
          <w:szCs w:val="18"/>
          <w:lang w:val="es-MX" w:eastAsia="es-ES"/>
        </w:rPr>
      </w:pPr>
      <w:r>
        <w:rPr>
          <w:rFonts w:cs="Arial" w:ascii="Arial" w:hAnsi="Arial"/>
          <w:color w:val="000000"/>
          <w:sz w:val="18"/>
          <w:szCs w:val="18"/>
          <w:lang w:val="es-MX" w:eastAsia="es-ES"/>
        </w:rPr>
        <w:t>Health Club con clases diarias de fitness, yoga y meditación. Centro acuático con piscinas cubiertas y al aire libre, jacuzzi. Recorridos en bicicleta, recorridos a pie, recorridos por la historia del hotel, recorridos por la ciudad, excursiones por senderos locales y por las montañas. Observación de estrellas y raquetas de nieve. Alquiler de bicicletas durante una hora, raquetas de nieve, crampones para hielo, bastones de senderismo y trineos de nieve.</w:t>
      </w:r>
    </w:p>
    <w:p>
      <w:pPr>
        <w:pStyle w:val="ListParagraph"/>
        <w:numPr>
          <w:ilvl w:val="0"/>
          <w:numId w:val="5"/>
        </w:numPr>
        <w:spacing w:lineRule="auto" w:line="240" w:before="0" w:after="0"/>
        <w:contextualSpacing/>
        <w:jc w:val="both"/>
        <w:rPr>
          <w:rFonts w:ascii="Arial" w:hAnsi="Arial" w:cs="Arial"/>
          <w:color w:val="000000"/>
          <w:sz w:val="18"/>
          <w:szCs w:val="18"/>
          <w:lang w:val="es-MX" w:eastAsia="es-ES"/>
        </w:rPr>
      </w:pPr>
      <w:r>
        <w:rPr>
          <w:rFonts w:cs="Arial" w:ascii="Arial" w:hAnsi="Arial"/>
          <w:color w:val="000000"/>
          <w:sz w:val="18"/>
          <w:szCs w:val="18"/>
          <w:lang w:val="es-MX" w:eastAsia="es-ES"/>
        </w:rPr>
        <w:t>Programas familiares, recreativos y culturales. Noches de cine, trivial, bingo, búsqueda del tesoro, noches de pintura, diversión familiar, curling bávaro, patinaje sobre hielo,</w:t>
      </w:r>
    </w:p>
    <w:p>
      <w:pPr>
        <w:pStyle w:val="ListParagraph"/>
        <w:numPr>
          <w:ilvl w:val="0"/>
          <w:numId w:val="5"/>
        </w:numPr>
        <w:spacing w:lineRule="auto" w:line="240" w:before="0" w:after="0"/>
        <w:contextualSpacing/>
        <w:jc w:val="both"/>
        <w:rPr>
          <w:rFonts w:ascii="Arial" w:hAnsi="Arial" w:cs="Arial"/>
          <w:color w:val="000000"/>
          <w:sz w:val="18"/>
          <w:szCs w:val="18"/>
          <w:lang w:val="es-MX" w:eastAsia="es-ES"/>
        </w:rPr>
      </w:pPr>
      <w:r>
        <w:rPr>
          <w:rFonts w:cs="Arial" w:ascii="Arial" w:hAnsi="Arial"/>
          <w:color w:val="000000"/>
          <w:sz w:val="18"/>
          <w:szCs w:val="18"/>
          <w:lang w:val="es-MX" w:eastAsia="es-ES"/>
        </w:rPr>
        <w:t>Ping Pong y billar en el Centro Canadiense de Bolos y Entretenimiento. Pistas de tenis - incluye raqueta y noches de Skill &amp; Drill (verano)</w:t>
      </w:r>
    </w:p>
    <w:p>
      <w:pPr>
        <w:pStyle w:val="ListParagraph"/>
        <w:numPr>
          <w:ilvl w:val="0"/>
          <w:numId w:val="5"/>
        </w:numPr>
        <w:spacing w:lineRule="auto" w:line="240" w:before="0" w:after="0"/>
        <w:contextualSpacing/>
        <w:jc w:val="both"/>
        <w:rPr>
          <w:rFonts w:ascii="Arial" w:hAnsi="Arial" w:cs="Arial"/>
          <w:color w:val="000000"/>
          <w:sz w:val="18"/>
          <w:szCs w:val="18"/>
          <w:lang w:val="es-MX" w:eastAsia="es-ES"/>
        </w:rPr>
      </w:pPr>
      <w:r>
        <w:rPr>
          <w:rFonts w:cs="Arial" w:ascii="Arial" w:hAnsi="Arial"/>
          <w:color w:val="000000"/>
          <w:sz w:val="18"/>
          <w:szCs w:val="18"/>
          <w:lang w:val="es-MX" w:eastAsia="es-ES"/>
        </w:rPr>
        <w:t>Acceso gratuito al Museo Whyte.</w:t>
      </w:r>
    </w:p>
    <w:p>
      <w:pPr>
        <w:pStyle w:val="Normal"/>
        <w:spacing w:lineRule="auto" w:line="240" w:before="0" w:after="0"/>
        <w:jc w:val="both"/>
        <w:rPr>
          <w:rFonts w:ascii="Arial" w:hAnsi="Arial" w:cs="Arial"/>
          <w:color w:val="000000"/>
          <w:sz w:val="18"/>
          <w:szCs w:val="18"/>
          <w:lang w:val="es-MX" w:eastAsia="es-ES"/>
        </w:rPr>
      </w:pPr>
      <w:r>
        <w:rPr>
          <w:rFonts w:cs="Arial" w:ascii="Arial" w:hAnsi="Arial"/>
          <w:color w:val="000000"/>
          <w:sz w:val="18"/>
          <w:szCs w:val="18"/>
          <w:lang w:val="es-MX" w:eastAsia="es-ES"/>
        </w:rPr>
      </w:r>
    </w:p>
    <w:p>
      <w:pPr>
        <w:pStyle w:val="Normal"/>
        <w:spacing w:lineRule="auto" w:line="240" w:before="0" w:after="0"/>
        <w:jc w:val="both"/>
        <w:rPr>
          <w:rFonts w:ascii="Arial" w:hAnsi="Arial" w:cs="Arial"/>
          <w:b/>
          <w:b/>
          <w:bCs/>
          <w:color w:val="000000"/>
          <w:sz w:val="18"/>
          <w:szCs w:val="18"/>
          <w:lang w:val="es-MX" w:eastAsia="es-ES"/>
        </w:rPr>
      </w:pPr>
      <w:r>
        <w:rPr>
          <w:rFonts w:cs="Arial" w:ascii="Arial" w:hAnsi="Arial"/>
          <w:b/>
          <w:bCs/>
          <w:color w:val="000000"/>
          <w:sz w:val="18"/>
          <w:szCs w:val="18"/>
          <w:lang w:val="es-MX" w:eastAsia="es-ES"/>
        </w:rPr>
        <w:t>Fairmont Banff Springs: Inclusiones</w:t>
      </w:r>
    </w:p>
    <w:p>
      <w:pPr>
        <w:pStyle w:val="ListParagraph"/>
        <w:numPr>
          <w:ilvl w:val="0"/>
          <w:numId w:val="6"/>
        </w:numPr>
        <w:spacing w:lineRule="auto" w:line="240" w:before="0" w:after="0"/>
        <w:contextualSpacing/>
        <w:jc w:val="both"/>
        <w:rPr>
          <w:rFonts w:ascii="Arial" w:hAnsi="Arial" w:cs="Arial"/>
          <w:color w:val="000000"/>
          <w:sz w:val="18"/>
          <w:szCs w:val="18"/>
          <w:lang w:val="es-MX" w:eastAsia="es-ES"/>
        </w:rPr>
      </w:pPr>
      <w:r>
        <w:rPr>
          <w:rFonts w:cs="Arial" w:ascii="Arial" w:hAnsi="Arial"/>
          <w:color w:val="000000"/>
          <w:sz w:val="18"/>
          <w:szCs w:val="18"/>
          <w:lang w:val="es-MX" w:eastAsia="es-ES"/>
        </w:rPr>
        <w:t>Health Club con clases diarias de yoga y fitness. Centro acuático con piscina cubierta, jacuzzi y baño de vapor</w:t>
      </w:r>
    </w:p>
    <w:p>
      <w:pPr>
        <w:pStyle w:val="ListParagraph"/>
        <w:numPr>
          <w:ilvl w:val="0"/>
          <w:numId w:val="6"/>
        </w:numPr>
        <w:spacing w:lineRule="auto" w:line="240" w:before="0" w:after="0"/>
        <w:contextualSpacing/>
        <w:jc w:val="both"/>
        <w:rPr>
          <w:rFonts w:ascii="Arial" w:hAnsi="Arial" w:cs="Arial"/>
          <w:color w:val="000000"/>
          <w:sz w:val="18"/>
          <w:szCs w:val="18"/>
          <w:lang w:val="es-MX" w:eastAsia="es-ES"/>
        </w:rPr>
      </w:pPr>
      <w:r>
        <w:rPr>
          <w:rFonts w:cs="Arial" w:ascii="Arial" w:hAnsi="Arial"/>
          <w:color w:val="000000"/>
          <w:sz w:val="18"/>
          <w:szCs w:val="18"/>
          <w:lang w:val="es-MX" w:eastAsia="es-ES"/>
        </w:rPr>
        <w:t>Servicio de transporte al pueblo de Lake Louise y a la estación de esquí de Lake Louise</w:t>
      </w:r>
    </w:p>
    <w:p>
      <w:pPr>
        <w:pStyle w:val="ListParagraph"/>
        <w:numPr>
          <w:ilvl w:val="0"/>
          <w:numId w:val="6"/>
        </w:numPr>
        <w:spacing w:lineRule="auto" w:line="240" w:before="0" w:after="0"/>
        <w:contextualSpacing/>
        <w:jc w:val="both"/>
        <w:rPr>
          <w:rFonts w:ascii="Arial" w:hAnsi="Arial" w:cs="Arial"/>
          <w:color w:val="000000"/>
          <w:sz w:val="18"/>
          <w:szCs w:val="18"/>
          <w:lang w:val="es-MX" w:eastAsia="es-ES"/>
        </w:rPr>
      </w:pPr>
      <w:r>
        <w:rPr>
          <w:rFonts w:cs="Arial" w:ascii="Arial" w:hAnsi="Arial"/>
          <w:color w:val="000000"/>
          <w:sz w:val="18"/>
          <w:szCs w:val="18"/>
          <w:lang w:val="es-MX" w:eastAsia="es-ES"/>
        </w:rPr>
        <w:t>Hogueras nocturnas con malvaviscos o manzanas asadas</w:t>
      </w:r>
    </w:p>
    <w:p>
      <w:pPr>
        <w:pStyle w:val="ListParagraph"/>
        <w:numPr>
          <w:ilvl w:val="0"/>
          <w:numId w:val="6"/>
        </w:numPr>
        <w:spacing w:lineRule="auto" w:line="240" w:before="0" w:after="0"/>
        <w:contextualSpacing/>
        <w:jc w:val="both"/>
        <w:rPr>
          <w:rFonts w:ascii="Arial" w:hAnsi="Arial" w:cs="Arial"/>
          <w:color w:val="000000"/>
          <w:sz w:val="18"/>
          <w:szCs w:val="18"/>
          <w:lang w:val="es-MX" w:eastAsia="es-ES"/>
        </w:rPr>
      </w:pPr>
      <w:r>
        <w:rPr>
          <w:rFonts w:cs="Arial" w:ascii="Arial" w:hAnsi="Arial"/>
          <w:color w:val="000000"/>
          <w:sz w:val="18"/>
          <w:szCs w:val="18"/>
          <w:lang w:val="es-MX" w:eastAsia="es-ES"/>
        </w:rPr>
        <w:t>Juegos de mesa. Noches de cine. Sesiones informativas sobre el hotel y su historia</w:t>
      </w:r>
    </w:p>
    <w:p>
      <w:pPr>
        <w:pStyle w:val="ListParagraph"/>
        <w:numPr>
          <w:ilvl w:val="0"/>
          <w:numId w:val="6"/>
        </w:numPr>
        <w:spacing w:lineRule="auto" w:line="240" w:before="0" w:after="0"/>
        <w:contextualSpacing/>
        <w:jc w:val="both"/>
        <w:rPr>
          <w:rFonts w:ascii="Arial" w:hAnsi="Arial" w:cs="Arial"/>
          <w:color w:val="000000"/>
          <w:sz w:val="18"/>
          <w:szCs w:val="18"/>
          <w:lang w:val="es-MX" w:eastAsia="es-ES"/>
        </w:rPr>
      </w:pPr>
      <w:r>
        <w:rPr>
          <w:rFonts w:cs="Arial" w:ascii="Arial" w:hAnsi="Arial"/>
          <w:color w:val="000000"/>
          <w:sz w:val="18"/>
          <w:szCs w:val="18"/>
          <w:lang w:val="es-MX" w:eastAsia="es-ES"/>
        </w:rPr>
        <w:t>Servicio de guardaesquís (invierno)</w:t>
      </w:r>
    </w:p>
    <w:p>
      <w:pPr>
        <w:pStyle w:val="ListParagraph"/>
        <w:numPr>
          <w:ilvl w:val="0"/>
          <w:numId w:val="6"/>
        </w:numPr>
        <w:spacing w:lineRule="auto" w:line="240" w:before="0" w:after="0"/>
        <w:contextualSpacing/>
        <w:jc w:val="both"/>
        <w:rPr>
          <w:rFonts w:ascii="Arial" w:hAnsi="Arial" w:cs="Arial"/>
          <w:color w:val="000000"/>
          <w:sz w:val="18"/>
          <w:szCs w:val="18"/>
          <w:lang w:val="es-MX" w:eastAsia="es-ES"/>
        </w:rPr>
      </w:pPr>
      <w:r>
        <w:rPr>
          <w:rFonts w:cs="Arial" w:ascii="Arial" w:hAnsi="Arial"/>
          <w:color w:val="000000"/>
          <w:sz w:val="18"/>
          <w:szCs w:val="18"/>
          <w:lang w:val="es-MX" w:eastAsia="es-ES"/>
        </w:rPr>
        <w:t>Curling bávaro (invierno). Patinaje sobre hielo (invierno)</w:t>
      </w:r>
    </w:p>
    <w:p>
      <w:pPr>
        <w:pStyle w:val="ListParagraph"/>
        <w:numPr>
          <w:ilvl w:val="0"/>
          <w:numId w:val="6"/>
        </w:numPr>
        <w:spacing w:lineRule="auto" w:line="240" w:before="0" w:after="0"/>
        <w:contextualSpacing/>
        <w:jc w:val="both"/>
        <w:rPr>
          <w:rFonts w:ascii="Arial" w:hAnsi="Arial" w:cs="Arial"/>
          <w:color w:val="000000"/>
          <w:sz w:val="18"/>
          <w:szCs w:val="18"/>
          <w:lang w:val="es-MX" w:eastAsia="es-ES"/>
        </w:rPr>
      </w:pPr>
      <w:r>
        <w:rPr>
          <w:rFonts w:cs="Arial" w:ascii="Arial" w:hAnsi="Arial"/>
          <w:color w:val="000000"/>
          <w:sz w:val="18"/>
          <w:szCs w:val="18"/>
          <w:lang w:val="es-MX" w:eastAsia="es-ES"/>
        </w:rPr>
        <w:t>15% de descuento en todos los equipos de alquiler</w:t>
      </w:r>
    </w:p>
    <w:p>
      <w:pPr>
        <w:pStyle w:val="ListParagraph"/>
        <w:numPr>
          <w:ilvl w:val="0"/>
          <w:numId w:val="6"/>
        </w:numPr>
        <w:spacing w:lineRule="auto" w:line="240" w:before="0" w:after="0"/>
        <w:contextualSpacing/>
        <w:jc w:val="both"/>
        <w:rPr>
          <w:rFonts w:ascii="Arial" w:hAnsi="Arial" w:cs="Arial"/>
          <w:color w:val="000000"/>
          <w:sz w:val="18"/>
          <w:szCs w:val="18"/>
          <w:lang w:val="es-MX" w:eastAsia="es-ES"/>
        </w:rPr>
      </w:pPr>
      <w:r>
        <w:rPr>
          <w:rFonts w:cs="Arial" w:ascii="Arial" w:hAnsi="Arial"/>
          <w:color w:val="000000"/>
          <w:sz w:val="18"/>
          <w:szCs w:val="18"/>
          <w:lang w:val="es-MX" w:eastAsia="es-ES"/>
        </w:rPr>
        <w:t>15% de descuento en las actividades de la Guía del Patrimonio</w:t>
      </w:r>
    </w:p>
    <w:p>
      <w:pPr>
        <w:pStyle w:val="ListParagraph"/>
        <w:numPr>
          <w:ilvl w:val="0"/>
          <w:numId w:val="6"/>
        </w:numPr>
        <w:spacing w:lineRule="auto" w:line="240" w:before="0" w:after="0"/>
        <w:contextualSpacing/>
        <w:jc w:val="both"/>
        <w:rPr>
          <w:rFonts w:ascii="Arial" w:hAnsi="Arial" w:cs="Arial"/>
          <w:color w:val="000000"/>
          <w:sz w:val="18"/>
          <w:szCs w:val="18"/>
          <w:lang w:val="es-MX" w:eastAsia="es-ES"/>
        </w:rPr>
      </w:pPr>
      <w:r>
        <w:rPr>
          <w:rFonts w:cs="Arial" w:ascii="Arial" w:hAnsi="Arial"/>
          <w:color w:val="000000"/>
          <w:sz w:val="18"/>
          <w:szCs w:val="18"/>
          <w:lang w:val="es-MX" w:eastAsia="es-ES"/>
        </w:rPr>
        <w:t>Programación infantil y familiar de temporada</w:t>
      </w:r>
    </w:p>
    <w:p>
      <w:pPr>
        <w:pStyle w:val="Normal"/>
        <w:spacing w:lineRule="auto" w:line="240" w:before="0" w:after="0"/>
        <w:jc w:val="both"/>
        <w:rPr>
          <w:rFonts w:ascii="Arial" w:hAnsi="Arial" w:cs="Arial"/>
          <w:color w:val="000000"/>
          <w:sz w:val="18"/>
          <w:szCs w:val="18"/>
          <w:lang w:val="es-MX" w:eastAsia="es-ES"/>
        </w:rPr>
      </w:pPr>
      <w:r>
        <w:rPr>
          <w:rFonts w:cs="Arial" w:ascii="Arial" w:hAnsi="Arial"/>
          <w:color w:val="000000"/>
          <w:sz w:val="18"/>
          <w:szCs w:val="18"/>
          <w:lang w:val="es-MX" w:eastAsia="es-ES"/>
        </w:rPr>
      </w:r>
    </w:p>
    <w:p>
      <w:pPr>
        <w:pStyle w:val="Normal"/>
        <w:widowControl w:val="false"/>
        <w:spacing w:lineRule="auto" w:line="240" w:before="0" w:after="0"/>
        <w:jc w:val="both"/>
        <w:textAlignment w:val="baseline"/>
        <w:rPr>
          <w:rFonts w:ascii="Arial" w:hAnsi="Arial" w:cs="Arial"/>
          <w:b/>
          <w:b/>
          <w:bCs/>
          <w:i/>
          <w:i/>
          <w:iCs/>
          <w:sz w:val="18"/>
          <w:szCs w:val="18"/>
        </w:rPr>
      </w:pPr>
      <w:r>
        <w:rPr>
          <w:rFonts w:cs="Arial" w:ascii="Arial" w:hAnsi="Arial"/>
          <w:b/>
          <w:bCs/>
          <w:i/>
          <w:iCs/>
          <w:sz w:val="18"/>
          <w:szCs w:val="18"/>
        </w:rPr>
        <w:t xml:space="preserve">Actividades mencionadas son basadas en 2022. Las reservas deberán hacerse a través del concierge del hotel. </w:t>
      </w:r>
    </w:p>
    <w:p>
      <w:pPr>
        <w:pStyle w:val="NoSpacing"/>
        <w:widowControl w:val="false"/>
        <w:jc w:val="both"/>
        <w:textAlignment w:val="baseline"/>
        <w:rPr>
          <w:rFonts w:ascii="Arial" w:hAnsi="Arial" w:cs="Arial"/>
          <w:sz w:val="18"/>
          <w:szCs w:val="18"/>
          <w:lang w:val="es-ES_tradnl" w:eastAsia="es-ES"/>
        </w:rPr>
      </w:pPr>
      <w:r>
        <w:rPr>
          <w:rFonts w:cs="Arial" w:ascii="Arial" w:hAnsi="Arial"/>
          <w:sz w:val="18"/>
          <w:szCs w:val="18"/>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 xml:space="preserve">EL PRECIO NO INCLUYE </w:t>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Boleto de avión México – Calgary – México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Gastos personales, alimentos y bebidas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Actividades opcionales y/o actividades no mencionadas en el itinerario como “incluye”</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Manejo de equipaje en los aeropuertos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Ningún servicio no especificado </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Propinas (la propina en Canadá es obligatoria entre un 15% y un 20% dependiendo del establecimiento; Propinas para maleteros en hoteles USD $ 3.00 a $4.00 por pieza, guías y/o conductores USD $ 5.00 a $8.00 por persona y por día)</w:t>
      </w:r>
    </w:p>
    <w:p>
      <w:pPr>
        <w:pStyle w:val="NoSpacing"/>
        <w:widowControl w:val="false"/>
        <w:numPr>
          <w:ilvl w:val="0"/>
          <w:numId w:val="1"/>
        </w:numPr>
        <w:jc w:val="both"/>
        <w:textAlignment w:val="baseline"/>
        <w:rPr>
          <w:rFonts w:ascii="Arial" w:hAnsi="Arial" w:cs="Arial"/>
          <w:b/>
          <w:b/>
          <w:color w:val="E36C0A" w:themeColor="accent6" w:themeShade="bf"/>
          <w:sz w:val="18"/>
          <w:szCs w:val="18"/>
          <w:u w:val="single"/>
          <w:lang w:val="es-MX" w:eastAsia="es-ES"/>
        </w:rPr>
      </w:pPr>
      <w:r>
        <w:rPr>
          <w:rFonts w:cs="Arial" w:ascii="Arial" w:hAnsi="Arial"/>
          <w:sz w:val="18"/>
          <w:szCs w:val="18"/>
          <w:lang w:val="es-ES_tradnl" w:eastAsia="es-ES"/>
        </w:rPr>
        <w:t xml:space="preserve">Autorización electrónica del Viaje </w:t>
      </w:r>
      <w:r>
        <w:rPr>
          <w:rFonts w:cs="Arial" w:ascii="Arial" w:hAnsi="Arial"/>
          <w:b/>
          <w:sz w:val="18"/>
          <w:szCs w:val="18"/>
          <w:lang w:val="es-ES_tradnl" w:eastAsia="es-ES"/>
        </w:rPr>
        <w:t>eTA para Canadá</w:t>
      </w:r>
      <w:r>
        <w:rPr>
          <w:rFonts w:cs="Arial" w:ascii="Arial" w:hAnsi="Arial"/>
          <w:sz w:val="18"/>
          <w:szCs w:val="18"/>
          <w:lang w:val="es-ES_tradnl" w:eastAsia="es-ES"/>
        </w:rPr>
        <w:tab/>
      </w:r>
    </w:p>
    <w:p>
      <w:pPr>
        <w:pStyle w:val="NoSpacing"/>
        <w:widowControl w:val="false"/>
        <w:numPr>
          <w:ilvl w:val="0"/>
          <w:numId w:val="1"/>
        </w:numPr>
        <w:jc w:val="both"/>
        <w:textAlignment w:val="baseline"/>
        <w:rPr>
          <w:rFonts w:ascii="Arial" w:hAnsi="Arial" w:cs="Arial"/>
          <w:b/>
          <w:b/>
          <w:color w:val="E36C0A" w:themeColor="accent6" w:themeShade="bf"/>
          <w:sz w:val="18"/>
          <w:szCs w:val="18"/>
          <w:u w:val="single"/>
          <w:lang w:val="es-MX" w:eastAsia="es-ES"/>
        </w:rPr>
      </w:pPr>
      <w:r>
        <w:rPr>
          <w:rFonts w:cs="Arial" w:ascii="Arial" w:hAnsi="Arial"/>
          <w:b/>
          <w:sz w:val="18"/>
          <w:szCs w:val="18"/>
          <w:lang w:val="es-ES_tradnl" w:eastAsia="es-ES"/>
        </w:rPr>
        <w:t>Requisitos de ingreso COVID</w:t>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NOTAS IMPORTANTES:</w:t>
      </w:r>
    </w:p>
    <w:p>
      <w:pPr>
        <w:pStyle w:val="NoSpacing"/>
        <w:widowControl w:val="false"/>
        <w:numPr>
          <w:ilvl w:val="0"/>
          <w:numId w:val="2"/>
        </w:numPr>
        <w:jc w:val="both"/>
        <w:textAlignment w:val="baseline"/>
        <w:rPr>
          <w:rFonts w:ascii="Arial" w:hAnsi="Arial" w:cs="Arial"/>
          <w:color w:val="000000"/>
          <w:sz w:val="18"/>
          <w:szCs w:val="18"/>
          <w:lang w:val="es-ES" w:eastAsia="es-ES"/>
        </w:rPr>
      </w:pPr>
      <w:r>
        <w:rPr>
          <w:rFonts w:cs="Arial" w:ascii="Arial" w:hAnsi="Arial"/>
          <w:color w:val="000000" w:themeColor="text1" w:themeShade="ff" w:themeTint="ff"/>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2"/>
        </w:numPr>
        <w:jc w:val="both"/>
        <w:textAlignment w:val="baseline"/>
        <w:rPr>
          <w:rFonts w:ascii="Arial" w:hAnsi="Arial" w:cs="Arial"/>
          <w:color w:val="000000"/>
          <w:sz w:val="18"/>
          <w:szCs w:val="18"/>
          <w:lang w:val="es-ES" w:eastAsia="es-ES"/>
        </w:rPr>
      </w:pPr>
      <w:r>
        <w:rPr>
          <w:rFonts w:cs="Arial" w:ascii="Arial" w:hAnsi="Arial"/>
          <w:color w:val="000000" w:themeColor="text1" w:themeShade="ff" w:themeTint="ff"/>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la gestión de todos los documentos necesarios.</w:t>
      </w:r>
    </w:p>
    <w:p>
      <w:pPr>
        <w:pStyle w:val="NoSpacing"/>
        <w:widowControl w:val="false"/>
        <w:numPr>
          <w:ilvl w:val="0"/>
          <w:numId w:val="2"/>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La vigencia del pasaporte debe tener mínimo seis meses a partir de la fecha del inicio de su viaje.</w:t>
      </w:r>
    </w:p>
    <w:p>
      <w:pPr>
        <w:pStyle w:val="ListParagraph"/>
        <w:widowControl w:val="false"/>
        <w:numPr>
          <w:ilvl w:val="0"/>
          <w:numId w:val="2"/>
        </w:numPr>
        <w:jc w:val="both"/>
        <w:textAlignment w:val="baseline"/>
        <w:rPr>
          <w:rFonts w:ascii="Arial" w:hAnsi="Arial" w:cs="Arial"/>
          <w:sz w:val="18"/>
          <w:szCs w:val="18"/>
          <w:lang w:eastAsia="es-ES"/>
        </w:rPr>
      </w:pPr>
      <w:r>
        <w:rPr>
          <w:rFonts w:cs="Arial" w:ascii="Arial" w:hAnsi="Arial"/>
          <w:b/>
          <w:sz w:val="18"/>
          <w:szCs w:val="18"/>
          <w:lang w:val="es-ES_tradnl" w:eastAsia="es-ES"/>
        </w:rPr>
        <w:t>L</w:t>
      </w:r>
      <w:r>
        <w:rPr>
          <w:rFonts w:cs="Arial" w:ascii="Arial" w:hAnsi="Arial"/>
          <w:b/>
          <w:sz w:val="18"/>
          <w:szCs w:val="18"/>
          <w:lang w:eastAsia="es-ES"/>
        </w:rPr>
        <w:t xml:space="preserve">os ciudadanos mexicanos que estén interesados en </w:t>
      </w:r>
      <w:r>
        <w:rPr>
          <w:rFonts w:cs="Arial" w:ascii="Arial" w:hAnsi="Arial"/>
          <w:b/>
          <w:sz w:val="18"/>
          <w:szCs w:val="18"/>
          <w:u w:val="single"/>
          <w:lang w:eastAsia="es-ES"/>
        </w:rPr>
        <w:t>viajar a Canadá no necesitarán visa</w:t>
      </w:r>
      <w:r>
        <w:rPr>
          <w:rFonts w:cs="Arial" w:ascii="Arial" w:hAnsi="Arial"/>
          <w:b/>
          <w:sz w:val="18"/>
          <w:szCs w:val="18"/>
          <w:lang w:eastAsia="es-ES"/>
        </w:rPr>
        <w:t>,</w:t>
      </w:r>
      <w:r>
        <w:rPr>
          <w:rFonts w:cs="Arial" w:ascii="Arial" w:hAnsi="Arial"/>
          <w:sz w:val="18"/>
          <w:szCs w:val="18"/>
          <w:lang w:eastAsia="es-ES"/>
        </w:rPr>
        <w:t xml:space="preserve"> pero sí una Autorización Electrónica de Viaje (eTA, por sus siglas en inglés). Dicho permiso se tramita vía electrónica o en las sedes de la Embajada de Canadá en México, y es válida durante cinco años o hasta que el pasaporte finalice su vigencia, lo que suceda primero; y tiene un costo de 7 dólares canadienses (aprox.).</w:t>
      </w:r>
    </w:p>
    <w:p>
      <w:pPr>
        <w:pStyle w:val="ListParagraph"/>
        <w:widowControl w:val="false"/>
        <w:numPr>
          <w:ilvl w:val="0"/>
          <w:numId w:val="2"/>
        </w:numPr>
        <w:jc w:val="both"/>
        <w:textAlignment w:val="baseline"/>
        <w:rPr>
          <w:rFonts w:ascii="Arial" w:hAnsi="Arial" w:cs="Arial"/>
          <w:color w:val="000000"/>
          <w:sz w:val="18"/>
          <w:szCs w:val="18"/>
          <w:lang w:val="es-ES_tradnl" w:eastAsia="es-ES"/>
        </w:rPr>
      </w:pPr>
      <w:r>
        <w:rPr>
          <w:rFonts w:cs="Arial" w:ascii="Arial" w:hAnsi="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sz w:val="18"/>
          <w:szCs w:val="18"/>
          <w:lang w:val="es-ES" w:eastAsia="es-ES"/>
        </w:rPr>
      </w:pPr>
      <w:r>
        <w:rPr>
          <w:rFonts w:cs="Arial" w:ascii="Arial" w:hAnsi="Arial"/>
          <w:color w:val="000000" w:themeColor="text1" w:themeShade="ff" w:themeTint="ff"/>
          <w:sz w:val="18"/>
          <w:szCs w:val="18"/>
          <w:lang w:val="es-ES"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sz w:val="18"/>
          <w:szCs w:val="18"/>
          <w:lang w:val="es-ES" w:eastAsia="es-ES"/>
        </w:rPr>
      </w:pPr>
      <w:r>
        <w:rPr>
          <w:rFonts w:cs="Arial" w:ascii="Arial" w:hAnsi="Arial"/>
          <w:sz w:val="18"/>
          <w:szCs w:val="18"/>
        </w:rPr>
        <w:t xml:space="preserve">Todos los servicios son de habla inglesa. Salvo el traslado de entrada que será en habla hispana. </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sz w:val="18"/>
          <w:szCs w:val="18"/>
          <w:lang w:val="es-ES_tradnl" w:eastAsia="es-ES"/>
        </w:rPr>
      </w:pPr>
      <w:r>
        <w:rPr>
          <w:rFonts w:cs="Arial" w:ascii="Arial" w:hAnsi="Arial"/>
          <w:sz w:val="18"/>
          <w:szCs w:val="18"/>
        </w:rPr>
        <w:t xml:space="preserve">Hotelería en hoteles mencionados o similares. Habitaciones estándar (Fairmont) y sin vistas. En caso de preferir habitaciones superiores por favor consultar. </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sz w:val="18"/>
          <w:szCs w:val="18"/>
          <w:lang w:val="es-ES_tradnl" w:eastAsia="es-ES"/>
        </w:rPr>
      </w:pPr>
      <w:r>
        <w:rPr>
          <w:rFonts w:cs="Arial" w:ascii="Arial" w:hAnsi="Arial"/>
          <w:sz w:val="18"/>
          <w:szCs w:val="18"/>
        </w:rPr>
        <w:t xml:space="preserve">Las habitaciones en Canadá constan de 1 o 2 camas, para habitaciones triples y cuádruples los clientes deberán acomodarse en dicho número de camas. En caso de solicitar una cama supletoria, ha de hacerse a la llegada del hotel y, sujeto a disponibilidad del hotel y capacidad de la habitación. </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sz w:val="18"/>
          <w:szCs w:val="18"/>
          <w:lang w:val="es-ES_tradnl" w:eastAsia="es-ES"/>
        </w:rPr>
      </w:pPr>
      <w:r>
        <w:rPr>
          <w:rFonts w:cs="Arial" w:ascii="Arial" w:hAnsi="Arial"/>
          <w:sz w:val="18"/>
          <w:szCs w:val="18"/>
        </w:rPr>
        <w:t xml:space="preserve">Actividades opcionales en hoteles mencionadas basadas en 2022. Las reservas deberán hacerse a través del concierge del hotel. </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sz w:val="18"/>
          <w:szCs w:val="18"/>
          <w:lang w:val="es-ES_tradnl" w:eastAsia="es-ES"/>
        </w:rPr>
      </w:pPr>
      <w:r>
        <w:rPr>
          <w:rFonts w:cs="Arial" w:ascii="Arial" w:hAnsi="Arial"/>
          <w:sz w:val="18"/>
          <w:szCs w:val="18"/>
        </w:rPr>
        <w:t>Tourmundial no se hace responsable de los atrasos o irregularidades que puedan ocurrir a los pasajeros con el transporte, ya sea aéreo o terrestre (tráfico, descomposturas, averías, nieve en autovías, etc...)</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sz w:val="18"/>
          <w:szCs w:val="18"/>
          <w:lang w:val="es-ES_tradnl" w:eastAsia="es-ES"/>
        </w:rPr>
      </w:pPr>
      <w:r>
        <w:rPr>
          <w:rFonts w:cs="Arial" w:ascii="Arial" w:hAnsi="Arial"/>
          <w:sz w:val="18"/>
          <w:szCs w:val="18"/>
        </w:rPr>
        <w:t xml:space="preserve">Los pasajeros con noches extra que no hayan sido reservadas a través de Tourmundial, pierden su derecho a traslados de entrada y/o salida. Los pasajeros con noches extra en hoteles distintos a los especificados en el programa deberán realizar el cambio de hotel por su cuenta. En caso contrario deberán solicitar el traslado. </w:t>
      </w:r>
    </w:p>
    <w:p>
      <w:pPr>
        <w:pStyle w:val="ListParagraph"/>
        <w:numPr>
          <w:ilvl w:val="0"/>
          <w:numId w:val="2"/>
        </w:numPr>
        <w:spacing w:lineRule="auto" w:line="240" w:before="0" w:after="0"/>
        <w:contextualSpacing/>
        <w:jc w:val="both"/>
        <w:rPr>
          <w:rFonts w:ascii="Arial" w:hAnsi="Arial" w:cs="Arial"/>
          <w:sz w:val="18"/>
          <w:szCs w:val="18"/>
        </w:rPr>
      </w:pPr>
      <w:r>
        <w:rPr>
          <w:rFonts w:cs="Arial" w:ascii="Arial" w:hAnsi="Arial"/>
          <w:sz w:val="18"/>
          <w:szCs w:val="18"/>
        </w:rPr>
        <w:t xml:space="preserve">La tarifa de menor aplica compartiendo habitación con dos adultos, sin derecho a cama. </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Todos los servicios de alojamiento están cotizados en habitaciones estándar. En caso de preferir habitaciones superiores favor de consultar.</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No se reembolsará ningún traslado o visita en el caso de no disfrute o de cancelación</w:t>
      </w:r>
    </w:p>
    <w:p>
      <w:pPr>
        <w:pStyle w:val="ListParagraph"/>
        <w:numPr>
          <w:ilvl w:val="0"/>
          <w:numId w:val="2"/>
        </w:numPr>
        <w:spacing w:lineRule="auto" w:line="240" w:before="0" w:after="0"/>
        <w:contextualSpacing/>
        <w:jc w:val="both"/>
        <w:rPr>
          <w:rFonts w:ascii="Arial" w:hAnsi="Arial" w:cs="Arial"/>
          <w:color w:val="000000"/>
          <w:sz w:val="18"/>
          <w:szCs w:val="18"/>
          <w:lang w:val="es-MX" w:eastAsia="es-ES"/>
        </w:rPr>
      </w:pPr>
      <w:r>
        <w:rPr>
          <w:rFonts w:cs="Arial" w:ascii="Arial" w:hAnsi="Arial"/>
          <w:color w:val="000000"/>
          <w:sz w:val="18"/>
          <w:szCs w:val="18"/>
          <w:lang w:val="es-MX" w:eastAsia="es-ES"/>
        </w:rPr>
        <w:t xml:space="preserve">Al momento de su registro en el hotel, se requerirá una tarjeta de crédito, con el fin de garantizar que usted se compromete a no dañar la habitación y dejarla en las mismas condiciones que le fue entregada. La Tarjeta de crédito le ayudara también para abrir crédito dentro de las instalaciones del hotel para consumo interno. </w:t>
      </w:r>
    </w:p>
    <w:p>
      <w:pPr>
        <w:pStyle w:val="ListParagraph"/>
        <w:numPr>
          <w:ilvl w:val="0"/>
          <w:numId w:val="2"/>
        </w:numPr>
        <w:spacing w:lineRule="auto" w:line="240" w:before="0" w:after="0"/>
        <w:contextualSpacing/>
        <w:jc w:val="both"/>
        <w:rPr>
          <w:rFonts w:ascii="Arial" w:hAnsi="Arial" w:cs="Arial"/>
          <w:color w:val="000000"/>
          <w:sz w:val="18"/>
          <w:szCs w:val="18"/>
          <w:lang w:val="es-MX" w:eastAsia="es-ES"/>
        </w:rPr>
      </w:pPr>
      <w:r>
        <w:rPr>
          <w:rFonts w:cs="Arial" w:ascii="Arial" w:hAnsi="Arial"/>
          <w:color w:val="000000"/>
          <w:sz w:val="18"/>
          <w:szCs w:val="18"/>
          <w:lang w:val="es-MX" w:eastAsia="es-ES"/>
        </w:rPr>
        <w:t xml:space="preserve">Manejo de equipaje en el tour máximo de 1 maleta por persona. En caso de equipaje adicional costos extras pueden ser cobrados en destino. </w:t>
      </w:r>
    </w:p>
    <w:p>
      <w:pPr>
        <w:pStyle w:val="ListParagraph"/>
        <w:widowControl w:val="false"/>
        <w:numPr>
          <w:ilvl w:val="0"/>
          <w:numId w:val="2"/>
        </w:numPr>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t xml:space="preserve">Para poder confirmar los traslados debemos de recibir la información completa de vuelos por lo </w:t>
      </w:r>
      <w:r>
        <w:rPr>
          <w:rFonts w:cs="Arial" w:ascii="Arial" w:hAnsi="Arial"/>
          <w:b/>
          <w:sz w:val="18"/>
          <w:szCs w:val="18"/>
          <w:u w:val="single"/>
          <w:lang w:val="es-ES_tradnl" w:eastAsia="es-ES"/>
        </w:rPr>
        <w:t>menos 10 días hábiles antes de</w:t>
      </w:r>
      <w:r>
        <w:rPr>
          <w:rFonts w:cs="Arial" w:ascii="Arial" w:hAnsi="Arial"/>
          <w:b/>
          <w:sz w:val="18"/>
          <w:szCs w:val="18"/>
          <w:lang w:val="es-ES_tradnl" w:eastAsia="es-ES"/>
        </w:rPr>
        <w:t xml:space="preserve"> la fecha de salida, en caso contrario no se podrá proporcionar los servicios de traslados de entrada y/o salida, y no serán reembolsables.</w:t>
      </w:r>
    </w:p>
    <w:p>
      <w:pPr>
        <w:pStyle w:val="ListParagraph"/>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Consulte suplemento para traslados desde y/o hasta el aeropuerto en horario nocturno.</w:t>
      </w:r>
    </w:p>
    <w:p>
      <w:pPr>
        <w:pStyle w:val="ListParagraph"/>
        <w:spacing w:lineRule="auto" w:line="240" w:before="0" w:after="0"/>
        <w:contextualSpacing/>
        <w:rPr>
          <w:rFonts w:ascii="Arial" w:hAnsi="Arial" w:eastAsia="Times New Roman" w:cs="Arial"/>
          <w:b/>
          <w:b/>
          <w:color w:val="FF0000"/>
          <w:sz w:val="18"/>
          <w:szCs w:val="18"/>
          <w:lang w:val="es-ES_tradnl" w:eastAsia="es-ES"/>
        </w:rPr>
      </w:pPr>
      <w:r>
        <w:rPr>
          <w:rFonts w:eastAsia="Times New Roman" w:cs="Arial" w:ascii="Arial" w:hAnsi="Arial"/>
          <w:b/>
          <w:color w:val="FF0000"/>
          <w:sz w:val="18"/>
          <w:szCs w:val="18"/>
          <w:lang w:val="es-ES_tradnl"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AVISO DE PRIVACIDAD:</w:t>
      </w:r>
    </w:p>
    <w:p>
      <w:pPr>
        <w:pStyle w:val="Normal"/>
        <w:spacing w:lineRule="auto" w:line="240" w:before="0" w:after="0"/>
        <w:jc w:val="both"/>
        <w:rPr>
          <w:rFonts w:ascii="Arial" w:hAnsi="Arial" w:eastAsia="Times New Roman" w:cs="Arial"/>
          <w:b/>
          <w:b/>
          <w:color w:val="FF0000"/>
          <w:sz w:val="18"/>
          <w:szCs w:val="18"/>
          <w:u w:val="single"/>
          <w:lang w:eastAsia="es-ES"/>
        </w:rPr>
      </w:pPr>
      <w:r>
        <w:rPr>
          <w:rFonts w:eastAsia="Times New Roman" w:cs="Arial" w:ascii="Arial" w:hAnsi="Arial"/>
          <w:b/>
          <w:color w:val="FF0000"/>
          <w:sz w:val="18"/>
          <w:szCs w:val="18"/>
          <w:u w:val="single"/>
          <w:lang w:eastAsia="es-ES"/>
        </w:rPr>
      </w:r>
    </w:p>
    <w:p>
      <w:pPr>
        <w:pStyle w:val="NoSpacing"/>
        <w:widowControl w:val="false"/>
        <w:jc w:val="both"/>
        <w:textAlignment w:val="baseline"/>
        <w:rPr>
          <w:rFonts w:ascii="Arial" w:hAnsi="Arial" w:cs="Arial"/>
          <w:color w:val="FF0000"/>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Style w:val="EnlacedeInternet"/>
            <w:rFonts w:cs="Arial" w:ascii="Arial" w:hAnsi="Arial"/>
            <w:sz w:val="18"/>
            <w:szCs w:val="18"/>
            <w:lang w:val="es-ES"/>
          </w:rPr>
          <w:t>www.tourmundial.com.mx</w:t>
        </w:r>
      </w:hyperlink>
      <w:r>
        <w:rPr/>
        <w:tab/>
        <w:tab/>
      </w:r>
    </w:p>
    <w:p>
      <w:pPr>
        <w:pStyle w:val="NoSpacing"/>
        <w:widowControl w:val="false"/>
        <w:jc w:val="both"/>
        <w:textAlignment w:val="baseline"/>
        <w:rPr>
          <w:rFonts w:ascii="Arial" w:hAnsi="Arial" w:cs="Arial"/>
          <w:color w:val="FF0000"/>
          <w:sz w:val="18"/>
          <w:szCs w:val="18"/>
          <w:lang w:val="es-ES"/>
        </w:rPr>
      </w:pPr>
      <w:r>
        <w:rPr>
          <w:rFonts w:cs="Arial" w:ascii="Arial" w:hAnsi="Arial"/>
          <w:color w:val="FF0000"/>
          <w:sz w:val="18"/>
          <w:szCs w:val="18"/>
          <w:lang w:val="es-ES"/>
        </w:rPr>
      </w:r>
    </w:p>
    <w:p>
      <w:pPr>
        <w:pStyle w:val="NoSpacing"/>
        <w:widowControl w:val="false"/>
        <w:jc w:val="both"/>
        <w:textAlignment w:val="baseline"/>
        <w:rPr>
          <w:rFonts w:ascii="Arial" w:hAnsi="Arial" w:cs="Arial"/>
          <w:color w:val="FF0000"/>
          <w:sz w:val="18"/>
          <w:szCs w:val="18"/>
          <w:lang w:val="es-ES"/>
        </w:rPr>
      </w:pPr>
      <w:r>
        <w:rPr>
          <w:rFonts w:cs="Arial" w:ascii="Arial" w:hAnsi="Arial"/>
          <w:color w:val="FF0000"/>
          <w:sz w:val="18"/>
          <w:szCs w:val="18"/>
          <w:lang w:val="es-ES"/>
        </w:rPr>
      </w:r>
    </w:p>
    <w:p>
      <w:pPr>
        <w:pStyle w:val="NoSpacing"/>
        <w:widowControl w:val="false"/>
        <w:jc w:val="center"/>
        <w:textAlignment w:val="baseline"/>
        <w:rPr>
          <w:rFonts w:ascii="Arial" w:hAnsi="Arial" w:cs="Arial"/>
          <w:b/>
          <w:b/>
          <w:bCs/>
          <w:color w:val="E36C0A" w:themeColor="accent6" w:themeShade="bf"/>
          <w:sz w:val="18"/>
          <w:szCs w:val="18"/>
          <w:u w:val="single"/>
          <w:lang w:val="es-ES" w:eastAsia="es-ES"/>
        </w:rPr>
      </w:pPr>
      <w:r>
        <w:rPr>
          <w:rFonts w:cs="Arial" w:ascii="Arial" w:hAnsi="Arial"/>
          <w:b/>
          <w:bCs/>
          <w:color w:val="E36C0A" w:themeColor="accent6" w:themeShade="bf" w:themeTint="ff"/>
          <w:sz w:val="18"/>
          <w:szCs w:val="18"/>
          <w:u w:val="single"/>
          <w:lang w:val="es-ES" w:eastAsia="es-ES"/>
        </w:rPr>
        <w:t>VIGENCIA 21DE DICIEMBRE DE 2024 AL 03 DE ENERO 2025</w:t>
      </w:r>
    </w:p>
    <w:p>
      <w:pPr>
        <w:pStyle w:val="NoSpacing"/>
        <w:widowControl w:val="false"/>
        <w:jc w:val="center"/>
        <w:textAlignment w:val="baseline"/>
        <w:rPr>
          <w:rFonts w:ascii="Arial" w:hAnsi="Arial" w:cs="Arial"/>
          <w:b/>
          <w:b/>
          <w:sz w:val="18"/>
          <w:szCs w:val="18"/>
          <w:lang w:val="es-ES" w:eastAsia="es-ES"/>
        </w:rPr>
      </w:pPr>
      <w:r>
        <w:rPr>
          <w:rFonts w:cs="Arial" w:ascii="Arial" w:hAnsi="Arial"/>
          <w:b/>
          <w:sz w:val="18"/>
          <w:szCs w:val="18"/>
          <w:highlight w:val="cyan"/>
          <w:lang w:val="es-ES" w:eastAsia="es-ES"/>
        </w:rPr>
        <w:t>PARA SOLICITAR RESERVA, SE REQUIERE DE PREPAGO</w:t>
      </w:r>
    </w:p>
    <w:tbl>
      <w:tblPr>
        <w:tblStyle w:val="Sombreadomedio1-nfasis6"/>
        <w:tblW w:w="650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6502"/>
      </w:tblGrid>
      <w:tr>
        <w:trPr>
          <w:trHeight w:val="431" w:hRule="atLeast"/>
          <w:cnfStyle w:val="100000000000" w:firstRow="1" w:lastRow="0" w:firstColumn="0" w:lastColumn="0" w:oddVBand="0" w:evenVBand="0" w:oddHBand="0" w:evenHBand="0" w:firstRowFirstColumn="0" w:firstRowLastColumn="0" w:lastRowFirstColumn="0" w:lastRowLastColumn="0"/>
        </w:trPr>
        <w:tc>
          <w:tcPr>
            <w:tcW w:w="6502"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vAlign w:val="center"/>
          </w:tcPr>
          <w:p>
            <w:pPr>
              <w:pStyle w:val="NoSpacing"/>
              <w:widowControl w:val="false"/>
              <w:suppressAutoHyphens w:val="true"/>
              <w:spacing w:before="0" w:after="0"/>
              <w:jc w:val="center"/>
              <w:textAlignment w:val="baseline"/>
              <w:rPr>
                <w:rFonts w:ascii="Arial" w:hAnsi="Arial" w:cs="Arial"/>
                <w:color w:val="auto"/>
                <w:sz w:val="18"/>
                <w:szCs w:val="18"/>
                <w:u w:val="single"/>
                <w:lang w:val="es-ES" w:eastAsia="es-ES"/>
              </w:rPr>
            </w:pPr>
            <w:r>
              <w:rPr>
                <w:rFonts w:cs="Arial" w:ascii="Arial" w:hAnsi="Arial"/>
                <w:b/>
                <w:bCs/>
                <w:color w:val="auto"/>
                <w:kern w:val="0"/>
                <w:sz w:val="18"/>
                <w:szCs w:val="18"/>
                <w:u w:val="single"/>
                <w:lang w:val="es-ES" w:eastAsia="es-ES" w:bidi="ar-SA"/>
              </w:rPr>
              <w:t xml:space="preserve">POLÍTICAS DE CANCELACIÓN </w:t>
            </w:r>
          </w:p>
        </w:tc>
      </w:tr>
      <w:tr>
        <w:trPr>
          <w:trHeight w:val="1016" w:hRule="atLeast"/>
          <w:cnfStyle w:val="000000100000" w:firstRow="0" w:lastRow="0" w:firstColumn="0" w:lastColumn="0" w:oddVBand="0" w:evenVBand="0" w:oddHBand="1" w:evenHBand="0" w:firstRowFirstColumn="0" w:firstRowLastColumn="0" w:lastRowFirstColumn="0" w:lastRowLastColumn="0"/>
        </w:trPr>
        <w:tc>
          <w:tcPr>
            <w:tcW w:w="6502"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tcPr>
          <w:p>
            <w:pPr>
              <w:pStyle w:val="NoSpacing"/>
              <w:widowControl w:val="false"/>
              <w:numPr>
                <w:ilvl w:val="0"/>
                <w:numId w:val="3"/>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Prepago del 100%, 80 días antes de la salida</w:t>
            </w:r>
          </w:p>
          <w:p>
            <w:pPr>
              <w:pStyle w:val="NoSpacing"/>
              <w:widowControl w:val="false"/>
              <w:numPr>
                <w:ilvl w:val="0"/>
                <w:numId w:val="3"/>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Cancelación 65 días antes </w:t>
            </w:r>
          </w:p>
          <w:p>
            <w:pPr>
              <w:pStyle w:val="NoSpacing"/>
              <w:widowControl w:val="false"/>
              <w:numPr>
                <w:ilvl w:val="0"/>
                <w:numId w:val="3"/>
              </w:numPr>
              <w:suppressAutoHyphens w:val="true"/>
              <w:spacing w:before="0" w:after="0"/>
              <w:jc w:val="left"/>
              <w:textAlignment w:val="baseline"/>
              <w:rPr>
                <w:rFonts w:ascii="Arial" w:hAnsi="Arial" w:cs="Arial"/>
                <w:sz w:val="18"/>
                <w:szCs w:val="18"/>
                <w:lang w:val="es-ES" w:eastAsia="es-ES"/>
              </w:rPr>
            </w:pPr>
            <w:r>
              <w:rPr>
                <w:rFonts w:cs="Arial" w:ascii="Arial" w:hAnsi="Arial"/>
                <w:b/>
                <w:bCs/>
                <w:kern w:val="0"/>
                <w:sz w:val="18"/>
                <w:szCs w:val="18"/>
                <w:lang w:val="es-ES" w:eastAsia="es-ES" w:bidi="ar-SA"/>
              </w:rPr>
              <w:t>En caso de No Show, aplican 100% de cargos</w:t>
            </w:r>
          </w:p>
          <w:p>
            <w:pPr>
              <w:pStyle w:val="NoSpacing"/>
              <w:widowControl w:val="false"/>
              <w:numPr>
                <w:ilvl w:val="0"/>
                <w:numId w:val="3"/>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Servicios no utilizados son no reembolsables</w:t>
            </w:r>
          </w:p>
        </w:tc>
      </w:tr>
    </w:tbl>
    <w:p>
      <w:pPr>
        <w:pStyle w:val="NoSpacing"/>
        <w:widowControl w:val="false"/>
        <w:jc w:val="center"/>
        <w:textAlignment w:val="baseline"/>
        <w:rPr>
          <w:rFonts w:ascii="Arial" w:hAnsi="Arial" w:cs="Arial"/>
          <w:b/>
          <w:b/>
          <w:sz w:val="18"/>
          <w:szCs w:val="18"/>
          <w:u w:val="single"/>
          <w:lang w:val="es-ES" w:eastAsia="es-ES"/>
        </w:rPr>
      </w:pPr>
      <w:r>
        <w:rPr>
          <w:rFonts w:cs="Arial" w:ascii="Arial" w:hAnsi="Arial"/>
          <w:b/>
          <w:sz w:val="18"/>
          <w:szCs w:val="18"/>
          <w:u w:val="single"/>
          <w:lang w:val="es-ES" w:eastAsia="es-ES"/>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Courier New">
    <w:charset w:val="01"/>
    <w:family w:val="modern"/>
    <w:pitch w:val="fixed"/>
  </w:font>
  <w:font w:name="Wingdings">
    <w:charset w:val="02"/>
    <w:family w:val="auto"/>
    <w:pitch w:val="variable"/>
  </w:font>
  <w:font w:name="Lucida Sans Unicode">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www.tourmundial.com.mx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jc w:val="both"/>
      <w:rPr/>
    </w:pPr>
    <w:r>
      <w:rPr/>
      <mc:AlternateContent>
        <mc:Choice Requires="wps">
          <w:drawing>
            <wp:anchor behindDoc="1" distT="12700" distB="12700" distL="13335" distR="12065" simplePos="0" locked="0" layoutInCell="0" allowOverlap="1" relativeHeight="5" wp14:anchorId="7BE74D10">
              <wp:simplePos x="0" y="0"/>
              <wp:positionH relativeFrom="page">
                <wp:align>right</wp:align>
              </wp:positionH>
              <wp:positionV relativeFrom="paragraph">
                <wp:posOffset>-650240</wp:posOffset>
              </wp:positionV>
              <wp:extent cx="8599805" cy="1104265"/>
              <wp:effectExtent l="13335" t="12700" r="12065" b="12700"/>
              <wp:wrapNone/>
              <wp:docPr id="2" name="1 Rectángulo"/>
              <a:graphic xmlns:a="http://schemas.openxmlformats.org/drawingml/2006/main">
                <a:graphicData uri="http://schemas.microsoft.com/office/word/2010/wordprocessingShape">
                  <wps:wsp>
                    <wps:cNvSpPr/>
                    <wps:spPr>
                      <a:xfrm>
                        <a:off x="0" y="0"/>
                        <a:ext cx="8599680" cy="1104120"/>
                      </a:xfrm>
                      <a:prstGeom prst="rect">
                        <a:avLst/>
                      </a:prstGeom>
                      <a:solidFill>
                        <a:schemeClr val="bg1">
                          <a:lumMod val="65000"/>
                        </a:schemeClr>
                      </a:solidFill>
                      <a:ln>
                        <a:solidFill>
                          <a:srgbClr val="a6a6a6"/>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1 Rectángulo" path="m0,0l-2147483645,0l-2147483645,-2147483646l0,-2147483646xe" fillcolor="#a6a6a6" stroked="t" o:allowincell="f" style="position:absolute;margin-left:-82.85pt;margin-top:-51.2pt;width:677.1pt;height:86.9pt;mso-wrap-style:none;v-text-anchor:middle;mso-position-horizontal:right;mso-position-horizontal-relative:page" wp14:anchorId="7BE74D10">
              <v:fill o:detectmouseclick="t" type="solid" color2="#595959"/>
              <v:stroke color="#a6a6a6" weight="25560" joinstyle="round" endcap="flat"/>
              <w10:wrap type="none"/>
            </v:rect>
          </w:pict>
        </mc:Fallback>
      </mc:AlternateContent>
      <w:drawing>
        <wp:inline distT="0" distB="0" distL="0" distR="0">
          <wp:extent cx="2152650" cy="694055"/>
          <wp:effectExtent l="0" t="0" r="0" b="0"/>
          <wp:docPr id="3" name="Imagen 4"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Forma&#10;&#10;Descripción generada automáticamente con confianza media"/>
                  <pic:cNvPicPr>
                    <a:picLocks noChangeAspect="1" noChangeArrowheads="1"/>
                  </pic:cNvPicPr>
                </pic:nvPicPr>
                <pic:blipFill>
                  <a:blip r:embed="rId1"/>
                  <a:stretch>
                    <a:fillRect/>
                  </a:stretch>
                </pic:blipFill>
                <pic:spPr bwMode="auto">
                  <a:xfrm>
                    <a:off x="0" y="0"/>
                    <a:ext cx="2152650" cy="694055"/>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numFmt w:val="bullet"/>
      <w:lvlText w:val=""/>
      <w:lvlJc w:val="left"/>
      <w:pPr>
        <w:tabs>
          <w:tab w:val="num" w:pos="0"/>
        </w:tabs>
        <w:ind w:left="66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E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038f"/>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Ttulo4">
    <w:name w:val="Heading 4"/>
    <w:basedOn w:val="Normal"/>
    <w:next w:val="Normal"/>
    <w:link w:val="Ttulo4Car"/>
    <w:qFormat/>
    <w:rsid w:val="00891c16"/>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0038f"/>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0038f"/>
    <w:rPr/>
  </w:style>
  <w:style w:type="character" w:styleId="EnlacedeInternet">
    <w:name w:val="Enlace de Internet"/>
    <w:basedOn w:val="DefaultParagraphFont"/>
    <w:uiPriority w:val="99"/>
    <w:unhideWhenUsed/>
    <w:rsid w:val="0040038f"/>
    <w:rPr>
      <w:color w:val="0000FF" w:themeColor="hyperlink"/>
      <w:u w:val="single"/>
    </w:rPr>
  </w:style>
  <w:style w:type="character" w:styleId="EncabezadoCar" w:customStyle="1">
    <w:name w:val="Encabezado Car"/>
    <w:basedOn w:val="DefaultParagraphFont"/>
    <w:qFormat/>
    <w:rsid w:val="0040038f"/>
    <w:rPr/>
  </w:style>
  <w:style w:type="character" w:styleId="TextoindependienteCar" w:customStyle="1">
    <w:name w:val="Texto independiente Car"/>
    <w:basedOn w:val="DefaultParagraphFont"/>
    <w:qFormat/>
    <w:rsid w:val="00465269"/>
    <w:rPr>
      <w:rFonts w:ascii="Tahoma" w:hAnsi="Tahoma" w:eastAsia="Times New Roman" w:cs="Tahoma"/>
      <w:color w:val="000000"/>
      <w:sz w:val="16"/>
      <w:szCs w:val="24"/>
      <w:lang w:val="es-MX" w:eastAsia="ar-SA"/>
    </w:rPr>
  </w:style>
  <w:style w:type="character" w:styleId="Hps" w:customStyle="1">
    <w:name w:val="hps"/>
    <w:basedOn w:val="DefaultParagraphFont"/>
    <w:qFormat/>
    <w:rsid w:val="00e73987"/>
    <w:rPr/>
  </w:style>
  <w:style w:type="character" w:styleId="Hpsatn" w:customStyle="1">
    <w:name w:val="hps atn"/>
    <w:basedOn w:val="DefaultParagraphFont"/>
    <w:qFormat/>
    <w:rsid w:val="00e73987"/>
    <w:rPr/>
  </w:style>
  <w:style w:type="character" w:styleId="Appleconvertedspace" w:customStyle="1">
    <w:name w:val="apple-converted-space"/>
    <w:basedOn w:val="DefaultParagraphFont"/>
    <w:qFormat/>
    <w:rsid w:val="00857804"/>
    <w:rPr/>
  </w:style>
  <w:style w:type="character" w:styleId="Ttulo4Car" w:customStyle="1">
    <w:name w:val="Título 4 Car"/>
    <w:basedOn w:val="DefaultParagraphFont"/>
    <w:qFormat/>
    <w:rsid w:val="00891c16"/>
    <w:rPr>
      <w:rFonts w:ascii="Times New Roman" w:hAnsi="Times New Roman" w:eastAsia="Times New Roman" w:cs="Times New Roman"/>
      <w:b/>
      <w:bCs/>
      <w:sz w:val="20"/>
      <w:szCs w:val="20"/>
      <w:lang w:eastAsia="es-ES"/>
    </w:rPr>
  </w:style>
  <w:style w:type="character" w:styleId="TextodegloboCar" w:customStyle="1">
    <w:name w:val="Texto de globo Car"/>
    <w:basedOn w:val="DefaultParagraphFont"/>
    <w:link w:val="BalloonText"/>
    <w:uiPriority w:val="99"/>
    <w:semiHidden/>
    <w:qFormat/>
    <w:rsid w:val="00404745"/>
    <w:rPr>
      <w:rFonts w:ascii="Tahoma" w:hAnsi="Tahoma" w:cs="Tahoma"/>
      <w:sz w:val="16"/>
      <w:szCs w:val="16"/>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link w:val="TextoindependienteCar"/>
    <w:unhideWhenUsed/>
    <w:rsid w:val="00465269"/>
    <w:pPr>
      <w:suppressAutoHyphens w:val="true"/>
      <w:spacing w:lineRule="auto" w:line="240" w:before="0" w:after="0"/>
    </w:pPr>
    <w:rPr>
      <w:rFonts w:ascii="Tahoma" w:hAnsi="Tahoma" w:eastAsia="Times New Roman" w:cs="Tahoma"/>
      <w:color w:val="000000"/>
      <w:sz w:val="16"/>
      <w:szCs w:val="24"/>
      <w:lang w:val="es-MX" w:eastAsia="ar-SA"/>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40038f"/>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0038f"/>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0038f"/>
    <w:pPr>
      <w:tabs>
        <w:tab w:val="clear" w:pos="708"/>
        <w:tab w:val="center" w:pos="4252" w:leader="none"/>
        <w:tab w:val="right" w:pos="8504" w:leader="none"/>
      </w:tabs>
      <w:spacing w:lineRule="auto" w:line="240" w:before="0" w:after="0"/>
    </w:pPr>
    <w:rPr/>
  </w:style>
  <w:style w:type="paragraph" w:styleId="ListParagraph">
    <w:name w:val="List Paragraph"/>
    <w:basedOn w:val="Normal"/>
    <w:qFormat/>
    <w:rsid w:val="00196105"/>
    <w:pPr>
      <w:spacing w:before="0" w:after="200"/>
      <w:ind w:left="720" w:hanging="0"/>
      <w:contextualSpacing/>
    </w:pPr>
    <w:rPr/>
  </w:style>
  <w:style w:type="paragraph" w:styleId="BalloonText">
    <w:name w:val="Balloon Text"/>
    <w:basedOn w:val="Normal"/>
    <w:link w:val="TextodegloboCar"/>
    <w:uiPriority w:val="99"/>
    <w:semiHidden/>
    <w:unhideWhenUsed/>
    <w:qFormat/>
    <w:rsid w:val="00404745"/>
    <w:pPr>
      <w:spacing w:lineRule="auto" w:line="240" w:before="0" w:after="0"/>
    </w:pPr>
    <w:rPr>
      <w:rFonts w:ascii="Tahoma" w:hAnsi="Tahoma" w:cs="Tahoma"/>
      <w:sz w:val="16"/>
      <w:szCs w:val="16"/>
    </w:rPr>
  </w:style>
  <w:style w:type="paragraph" w:styleId="NormalWeb">
    <w:name w:val="Normal (Web)"/>
    <w:basedOn w:val="Normal"/>
    <w:uiPriority w:val="99"/>
    <w:unhideWhenUsed/>
    <w:qFormat/>
    <w:rsid w:val="00865fc6"/>
    <w:pPr>
      <w:spacing w:lineRule="auto" w:line="240" w:beforeAutospacing="1" w:afterAutospacing="1"/>
    </w:pPr>
    <w:rPr>
      <w:rFonts w:ascii="Times New Roman" w:hAnsi="Times New Roman" w:eastAsia="Times New Roman" w:cs="Times New Roman"/>
      <w:sz w:val="24"/>
      <w:szCs w:val="24"/>
      <w:lang w:val="en-US"/>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40038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media1-nfasis6">
    <w:name w:val="Medium Grid 1 Accent 6"/>
    <w:basedOn w:val="Tablanormal"/>
    <w:uiPriority w:val="67"/>
    <w:rsid w:val="00273c98"/>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273c98"/>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273c98"/>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Listamedia1-nfasis6">
    <w:name w:val="Medium List 1 Accent 6"/>
    <w:basedOn w:val="Tablanormal"/>
    <w:uiPriority w:val="65"/>
    <w:rsid w:val="00273c98"/>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com.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com.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D6C92-BF91-459D-8501-2FBD4E74797F}"/>
</file>

<file path=customXml/itemProps2.xml><?xml version="1.0" encoding="utf-8"?>
<ds:datastoreItem xmlns:ds="http://schemas.openxmlformats.org/officeDocument/2006/customXml" ds:itemID="{432F7508-A9BE-4636-9D58-F1878D4F7280}">
  <ds:schemaRefs>
    <ds:schemaRef ds:uri="http://schemas.microsoft.com/sharepoint/v3/contenttype/forms"/>
  </ds:schemaRefs>
</ds:datastoreItem>
</file>

<file path=customXml/itemProps3.xml><?xml version="1.0" encoding="utf-8"?>
<ds:datastoreItem xmlns:ds="http://schemas.openxmlformats.org/officeDocument/2006/customXml" ds:itemID="{EE283000-8D41-47E6-8184-0A9B7ED49C21}">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4.xml><?xml version="1.0" encoding="utf-8"?>
<ds:datastoreItem xmlns:ds="http://schemas.openxmlformats.org/officeDocument/2006/customXml" ds:itemID="{A2FB31E4-D456-4593-9C07-FF5442A46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TotalTime>
  <Application>LibreOffice/7.3.5.2$Windows_X86_64 LibreOffice_project/184fe81b8c8c30d8b5082578aee2fed2ea847c01</Application>
  <AppVersion>15.0000</AppVersion>
  <Pages>4</Pages>
  <Words>2147</Words>
  <Characters>11080</Characters>
  <CharactersWithSpaces>13222</CharactersWithSpaces>
  <Paragraphs>127</Paragraphs>
  <Company>ECI</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2023-07-17T22:48:00Z</dcterms:created>
  <dc:creator>V2784160</dc:creator>
  <dc:description/>
  <dc:language>es-MX</dc:language>
  <cp:lastModifiedBy/>
  <dcterms:modified xsi:type="dcterms:W3CDTF">2024-07-22T17:51:23Z</dcterms:modified>
  <cp:revision>29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1ca2adfb97531d73a172c220f9bfa91da40b8d9a65ff10cdbff04d82713cbc91</vt:lpwstr>
  </property>
  <property fmtid="{D5CDD505-2E9C-101B-9397-08002B2CF9AE}" pid="4" name="MediaServiceImageTags">
    <vt:lpwstr/>
  </property>
</Properties>
</file>