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Listamedia1-nfasis6"/>
        <w:tblpPr w:bottomFromText="0" w:horzAnchor="margin" w:leftFromText="141" w:rightFromText="141" w:tblpX="0" w:tblpY="14" w:topFromText="0" w:vertAnchor="text"/>
        <w:tblW w:w="9729" w:type="dxa"/>
        <w:jc w:val="left"/>
        <w:tblInd w:w="-10" w:type="dxa"/>
        <w:tblLayout w:type="fixed"/>
        <w:tblCellMar>
          <w:top w:w="0" w:type="dxa"/>
          <w:left w:w="108" w:type="dxa"/>
          <w:bottom w:w="0" w:type="dxa"/>
          <w:right w:w="108" w:type="dxa"/>
        </w:tblCellMar>
        <w:tblLook w:firstRow="1" w:noVBand="1" w:lastRow="0" w:firstColumn="1" w:lastColumn="0" w:noHBand="0" w:val="04a0"/>
      </w:tblPr>
      <w:tblGrid>
        <w:gridCol w:w="9729"/>
      </w:tblGrid>
      <w:tr>
        <w:trPr>
          <w:trHeight w:val="454" w:hRule="atLeast"/>
          <w:cnfStyle w:val="100000000000" w:firstRow="1" w:lastRow="0" w:firstColumn="0" w:lastColumn="0" w:oddVBand="0" w:evenVBand="0" w:oddHBand="0" w:evenHBand="0" w:firstRowFirstColumn="0" w:firstRowLastColumn="0" w:lastRowFirstColumn="0" w:lastRowLastColumn="0"/>
        </w:trPr>
        <w:tc>
          <w:tcPr>
            <w:tcW w:w="9729"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tcPr>
          <w:p>
            <w:pPr>
              <w:pStyle w:val="Normal"/>
              <w:widowControl/>
              <w:spacing w:lineRule="auto" w:line="240" w:before="0" w:afterAutospacing="0" w:after="0"/>
              <w:jc w:val="right"/>
              <w:rPr>
                <w:rFonts w:ascii="Arial" w:hAnsi="Arial" w:eastAsia="Times New Roman" w:cs="Arial"/>
                <w:color w:val="E36C0A" w:themeColor="accent6" w:themeShade="bf"/>
                <w:sz w:val="24"/>
                <w:szCs w:val="24"/>
                <w:lang w:eastAsia="es-ES"/>
              </w:rPr>
            </w:pPr>
            <w:r>
              <w:rPr>
                <w:rFonts w:eastAsia="Times New Roman" w:cs="Arial" w:ascii="Arial" w:hAnsi="Arial"/>
                <w:b/>
                <w:bCs/>
                <w:color w:val="EF782D"/>
                <w:kern w:val="0"/>
                <w:sz w:val="40"/>
                <w:szCs w:val="40"/>
                <w:lang w:eastAsia="es-ES" w:bidi="ar-SA"/>
              </w:rPr>
              <w:t>PATAGONIA EXPRESS</w:t>
            </w:r>
          </w:p>
        </w:tc>
      </w:tr>
    </w:tbl>
    <w:tbl>
      <w:tblPr>
        <w:tblpPr w:vertAnchor="text" w:horzAnchor="text" w:leftFromText="141" w:rightFromText="141" w:tblpX="63" w:tblpY="70"/>
        <w:tblW w:w="9740" w:type="dxa"/>
        <w:jc w:val="left"/>
        <w:tblInd w:w="-5" w:type="dxa"/>
        <w:tblLayout w:type="fixed"/>
        <w:tblCellMar>
          <w:top w:w="0" w:type="dxa"/>
          <w:left w:w="70" w:type="dxa"/>
          <w:bottom w:w="0" w:type="dxa"/>
          <w:right w:w="70" w:type="dxa"/>
        </w:tblCellMar>
        <w:tblLook w:firstRow="1" w:noVBand="1" w:lastRow="0" w:firstColumn="1" w:lastColumn="0" w:noHBand="0" w:val="04a0"/>
      </w:tblPr>
      <w:tblGrid>
        <w:gridCol w:w="1444"/>
        <w:gridCol w:w="8295"/>
      </w:tblGrid>
      <w:tr>
        <w:trPr>
          <w:trHeight w:val="132" w:hRule="atLeast"/>
        </w:trPr>
        <w:tc>
          <w:tcPr>
            <w:tcW w:w="1444" w:type="dxa"/>
            <w:tcBorders>
              <w:top w:val="single" w:sz="4" w:space="0" w:color="C65911"/>
              <w:left w:val="single" w:sz="4" w:space="0" w:color="C65911"/>
            </w:tcBorders>
            <w:shd w:color="auto" w:fill="FBE0CD" w:val="clea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Visitando:</w:t>
            </w:r>
          </w:p>
        </w:tc>
        <w:tc>
          <w:tcPr>
            <w:tcW w:w="8295" w:type="dxa"/>
            <w:tcBorders>
              <w:top w:val="single" w:sz="4" w:space="0" w:color="C65911"/>
              <w:right w:val="single" w:sz="4" w:space="0" w:color="C65911"/>
            </w:tcBorders>
            <w:shd w:color="auto" w:fill="FBE0CD"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Buenos Aires – El Calafate – Ushuaia – Buenos Aires</w:t>
            </w:r>
          </w:p>
        </w:tc>
      </w:tr>
      <w:tr>
        <w:trPr>
          <w:trHeight w:val="262" w:hRule="atLeast"/>
        </w:trPr>
        <w:tc>
          <w:tcPr>
            <w:tcW w:w="1444" w:type="dxa"/>
            <w:tcBorders>
              <w:left w:val="single" w:sz="4" w:space="0" w:color="C65911"/>
            </w:tcBorders>
            <w:shd w:color="auto" w:fill="FBE0CD" w:val="clear"/>
          </w:tcPr>
          <w:p>
            <w:pPr>
              <w:pStyle w:val="Normal"/>
              <w:widowControl w:val="false"/>
              <w:spacing w:lineRule="auto" w:line="240" w:before="0" w:after="0"/>
              <w:ind w:right="100" w:hanging="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Salidas:</w:t>
            </w:r>
          </w:p>
        </w:tc>
        <w:tc>
          <w:tcPr>
            <w:tcW w:w="8295" w:type="dxa"/>
            <w:tcBorders>
              <w:right w:val="single" w:sz="4" w:space="0" w:color="C65911"/>
            </w:tcBorders>
            <w:shd w:color="auto" w:fill="FBE0CD"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Diarias del 08 de enero al 19 de marzo 2025</w:t>
            </w:r>
          </w:p>
          <w:p>
            <w:pPr>
              <w:pStyle w:val="Normal"/>
              <w:widowControl w:val="false"/>
              <w:spacing w:lineRule="auto" w:line="240" w:before="0" w:after="0"/>
              <w:ind w:left="-97" w:firstLine="97"/>
              <w:rPr>
                <w:rFonts w:ascii="Arial" w:hAnsi="Arial" w:cs="Arial"/>
                <w:b/>
                <w:b/>
                <w:bCs/>
                <w:color w:val="FF0000"/>
                <w:sz w:val="18"/>
                <w:szCs w:val="18"/>
              </w:rPr>
            </w:pPr>
            <w:r>
              <w:rPr>
                <w:rFonts w:cs="Arial" w:ascii="Arial" w:hAnsi="Arial"/>
                <w:b/>
                <w:bCs/>
                <w:color w:val="FF0000"/>
                <w:sz w:val="18"/>
                <w:szCs w:val="18"/>
              </w:rPr>
              <w:t>**Opera mínimo con 2 personas viajando juntas.</w:t>
            </w:r>
          </w:p>
          <w:p>
            <w:pPr>
              <w:pStyle w:val="Normal"/>
              <w:widowControl w:val="false"/>
              <w:spacing w:lineRule="auto" w:line="240" w:before="0" w:after="0"/>
              <w:rPr>
                <w:rFonts w:ascii="Arial" w:hAnsi="Arial" w:eastAsia="Times New Roman" w:cs="Arial"/>
                <w:b/>
                <w:b/>
                <w:bCs/>
                <w:sz w:val="18"/>
                <w:szCs w:val="18"/>
                <w:lang w:val="es-MX" w:eastAsia="es-MX"/>
              </w:rPr>
            </w:pPr>
            <w:r>
              <w:rPr>
                <w:rFonts w:cs="Arial" w:ascii="Arial" w:hAnsi="Arial"/>
                <w:b/>
                <w:bCs/>
                <w:color w:val="FF0000"/>
                <w:sz w:val="18"/>
                <w:szCs w:val="18"/>
              </w:rPr>
              <w:t xml:space="preserve"> </w:t>
            </w:r>
            <w:r>
              <w:rPr>
                <w:rFonts w:cs="Arial" w:ascii="Arial" w:hAnsi="Arial"/>
                <w:b/>
                <w:bCs/>
                <w:color w:val="FF0000"/>
                <w:sz w:val="18"/>
                <w:szCs w:val="18"/>
              </w:rPr>
              <w:t>*PVS: Tarifa para Pasajero Viajando Solo, consultar suplementos</w:t>
            </w:r>
          </w:p>
        </w:tc>
      </w:tr>
      <w:tr>
        <w:trPr>
          <w:trHeight w:val="152" w:hRule="atLeast"/>
        </w:trPr>
        <w:tc>
          <w:tcPr>
            <w:tcW w:w="1444" w:type="dxa"/>
            <w:tcBorders>
              <w:left w:val="single" w:sz="4" w:space="0" w:color="C65911"/>
            </w:tcBorders>
            <w:shd w:color="auto" w:fill="FBE0CD"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Duración:</w:t>
            </w:r>
          </w:p>
        </w:tc>
        <w:tc>
          <w:tcPr>
            <w:tcW w:w="8295" w:type="dxa"/>
            <w:tcBorders>
              <w:right w:val="single" w:sz="4" w:space="0" w:color="C65911"/>
            </w:tcBorders>
            <w:shd w:color="auto" w:fill="FBE0CD"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09 días / 08 noches</w:t>
            </w:r>
          </w:p>
        </w:tc>
      </w:tr>
      <w:tr>
        <w:trPr>
          <w:trHeight w:val="262" w:hRule="atLeast"/>
        </w:trPr>
        <w:tc>
          <w:tcPr>
            <w:tcW w:w="1444" w:type="dxa"/>
            <w:tcBorders>
              <w:left w:val="single" w:sz="4" w:space="0" w:color="C65911"/>
              <w:bottom w:val="single" w:sz="4" w:space="0" w:color="C65911"/>
            </w:tcBorders>
            <w:shd w:color="auto" w:fill="FBE0CD"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Alimentos:</w:t>
            </w:r>
          </w:p>
        </w:tc>
        <w:tc>
          <w:tcPr>
            <w:tcW w:w="8295" w:type="dxa"/>
            <w:tcBorders>
              <w:bottom w:val="single" w:sz="4" w:space="0" w:color="C65911"/>
              <w:right w:val="single" w:sz="4" w:space="0" w:color="C65911"/>
            </w:tcBorders>
            <w:shd w:color="auto" w:fill="FBE0CD"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08 desayunos</w:t>
            </w:r>
          </w:p>
        </w:tc>
      </w:tr>
    </w:tbl>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drawing>
          <wp:anchor behindDoc="0" distT="0" distB="0" distL="0" distR="0" simplePos="0" locked="0" layoutInCell="0" allowOverlap="1" relativeHeight="11">
            <wp:simplePos x="0" y="0"/>
            <wp:positionH relativeFrom="column">
              <wp:posOffset>-20320</wp:posOffset>
            </wp:positionH>
            <wp:positionV relativeFrom="paragraph">
              <wp:posOffset>923290</wp:posOffset>
            </wp:positionV>
            <wp:extent cx="6189980" cy="1705610"/>
            <wp:effectExtent l="0" t="0" r="0" b="0"/>
            <wp:wrapNone/>
            <wp:docPr id="1" name="Imagen 1" descr="Vista desde lo alto de una montaña junto a un cuerpo de agu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Vista desde lo alto de una montaña junto a un cuerpo de agua&#10;&#10;Descripción generada automáticamente con confianza media"/>
                    <pic:cNvPicPr>
                      <a:picLocks noChangeAspect="1" noChangeArrowheads="1"/>
                    </pic:cNvPicPr>
                  </pic:nvPicPr>
                  <pic:blipFill>
                    <a:blip r:embed="rId2"/>
                    <a:srcRect l="0" t="7930" r="0" b="9419"/>
                    <a:stretch>
                      <a:fillRect/>
                    </a:stretch>
                  </pic:blipFill>
                  <pic:spPr bwMode="auto">
                    <a:xfrm>
                      <a:off x="0" y="0"/>
                      <a:ext cx="6189980" cy="1705610"/>
                    </a:xfrm>
                    <a:prstGeom prst="rect">
                      <a:avLst/>
                    </a:prstGeom>
                  </pic:spPr>
                </pic:pic>
              </a:graphicData>
            </a:graphic>
          </wp:anchor>
        </w:drawing>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ITINERARIO DE VIAJE:</w:t>
      </w:r>
    </w:p>
    <w:p>
      <w:pPr>
        <w:pStyle w:val="Normal"/>
        <w:spacing w:lineRule="auto" w:line="240" w:before="0" w:after="0"/>
        <w:jc w:val="center"/>
        <w:rPr>
          <w:rFonts w:ascii="Arial" w:hAnsi="Arial" w:eastAsia="Times New Roman" w:cs="Arial"/>
          <w:b/>
          <w:b/>
          <w:color w:val="E36C0A" w:themeColor="accent6" w:themeShade="bf"/>
          <w:sz w:val="12"/>
          <w:szCs w:val="12"/>
          <w:u w:val="single"/>
          <w:lang w:eastAsia="es-ES"/>
        </w:rPr>
      </w:pPr>
      <w:r>
        <w:rPr>
          <w:rFonts w:eastAsia="Times New Roman" w:cs="Arial" w:ascii="Arial" w:hAnsi="Arial"/>
          <w:b/>
          <w:color w:val="E36C0A" w:themeColor="accent6" w:themeShade="bf"/>
          <w:sz w:val="12"/>
          <w:szCs w:val="12"/>
          <w:u w:val="single"/>
          <w:lang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1</w:t>
        <w:tab/>
        <w:t>Buenos Aires</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t>Llegada al aeropuerto de Buenos Aires. Recepción y traslado al hotel. Alojamiento.</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2</w:t>
        <w:tab/>
        <w:t>Buenos Aires – El Calafate</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b/>
          <w:i/>
          <w:sz w:val="18"/>
          <w:szCs w:val="18"/>
          <w:u w:val="single"/>
          <w:lang w:val="es-ES_tradnl" w:eastAsia="es-ES"/>
        </w:rPr>
        <w:t>Desayuno</w:t>
      </w:r>
      <w:r>
        <w:rPr>
          <w:rFonts w:eastAsia="Times New Roman" w:cs="Arial" w:ascii="Arial" w:hAnsi="Arial"/>
          <w:sz w:val="18"/>
          <w:szCs w:val="18"/>
          <w:lang w:val="es-ES_tradnl" w:eastAsia="es-ES"/>
        </w:rPr>
        <w:t>. A la hora acordada traslado al aeropuerto para tomar vuelo con destino a El Calafate (no incluido) Recepción y traslado al hotel. Alojamiento.</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Spacing"/>
        <w:widowControl w:val="false"/>
        <w:jc w:val="both"/>
        <w:textAlignment w:val="baseline"/>
        <w:rPr>
          <w:rFonts w:ascii="Arial" w:hAnsi="Arial" w:cs="Arial"/>
          <w:i/>
          <w:i/>
          <w:iCs/>
          <w:color w:val="7F7F7F" w:themeColor="text1" w:themeTint="80"/>
          <w:sz w:val="18"/>
          <w:szCs w:val="18"/>
          <w:shd w:fill="FFFFFF" w:val="clear"/>
        </w:rPr>
      </w:pPr>
      <w:r>
        <w:rPr>
          <w:rFonts w:cs="Arial" w:ascii="Arial" w:hAnsi="Arial"/>
          <w:i/>
          <w:iCs/>
          <w:color w:val="7F7F7F" w:themeColor="text1" w:themeTint="80"/>
          <w:sz w:val="18"/>
          <w:szCs w:val="18"/>
          <w:lang w:val="es-ES_tradnl" w:eastAsia="es-ES"/>
        </w:rPr>
        <w:t xml:space="preserve">Nota: Para los traslados con vuelos domésticos desde Buenos Aires, deben salir del </w:t>
      </w:r>
      <w:r>
        <w:rPr>
          <w:rFonts w:cs="Arial" w:ascii="Arial" w:hAnsi="Arial"/>
          <w:i/>
          <w:iCs/>
          <w:color w:val="7F7F7F" w:themeColor="text1" w:themeTint="80"/>
          <w:sz w:val="18"/>
          <w:szCs w:val="18"/>
        </w:rPr>
        <w:t>Aeroparque Jorge Newbery</w:t>
      </w:r>
      <w:r>
        <w:rPr>
          <w:rFonts w:cs="Arial" w:ascii="Arial" w:hAnsi="Arial"/>
          <w:i/>
          <w:iCs/>
          <w:color w:val="7F7F7F" w:themeColor="text1" w:themeTint="80"/>
          <w:sz w:val="18"/>
          <w:szCs w:val="18"/>
          <w:shd w:fill="FFFFFF" w:val="clear"/>
        </w:rPr>
        <w:t xml:space="preserve"> (AEP), en caso de ser desde el Aeropuerto Internacional de Ezeiza (EZE) se cobrará un suplemento.  Considerar que el Aeropuerto Internacional de Ezeiza (EZE) se encuentra a 45 min de la ciudad, por lo que no se recomienda tomar vuelos con salidas antes de las 6:00 hrs. </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3</w:t>
        <w:tab/>
        <w:t>El Calafate (excursión a Glaciar Perito Moreno)</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b/>
          <w:i/>
          <w:sz w:val="18"/>
          <w:szCs w:val="18"/>
          <w:u w:val="single"/>
          <w:lang w:val="es-ES_tradnl" w:eastAsia="es-ES"/>
        </w:rPr>
        <w:t>Desayuno</w:t>
      </w:r>
      <w:r>
        <w:rPr>
          <w:rFonts w:eastAsia="Times New Roman" w:cs="Arial" w:ascii="Arial" w:hAnsi="Arial"/>
          <w:sz w:val="18"/>
          <w:szCs w:val="18"/>
          <w:lang w:val="es-ES_tradnl" w:eastAsia="es-ES"/>
        </w:rPr>
        <w:t xml:space="preserve">. </w:t>
      </w:r>
      <w:r>
        <w:rPr>
          <w:rFonts w:cs="Arial" w:ascii="Arial" w:hAnsi="Arial"/>
          <w:sz w:val="18"/>
          <w:szCs w:val="18"/>
        </w:rPr>
        <w:t xml:space="preserve">El tour comienza temprano por la mañana con destino al Parque Nacional Los Glaciares, ubicado a 80 Km de distancia de El Calafate. Una vez en el mismo un guía habilitado por el Parque Nacional le brindará toda la información sobre el entorno, la flora, la fauna y el misticismo de este glaciar único. A continuación, tendrá tiempo para recorrer y disfrutar de los increíbles paisajes que brinda la imponente inmensidad del glaciar Perito Moreno recorriendo sus pasarelas. La caminata por las pasarelas es libre y tienen una extensión de 5 km. Las mismas están constituidas por escalinatas que descienden hasta aproximarse a unos 300 metros del frente del glaciar. </w:t>
      </w:r>
      <w:r>
        <w:rPr>
          <w:rFonts w:eastAsia="Times New Roman" w:cs="Arial" w:ascii="Arial" w:hAnsi="Arial"/>
          <w:sz w:val="18"/>
          <w:szCs w:val="18"/>
          <w:lang w:val="es-ES_tradnl" w:eastAsia="es-ES"/>
        </w:rPr>
        <w:t>Alojamiento.</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4</w:t>
        <w:tab/>
        <w:t>El Calafate – Ushuaia</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b/>
          <w:i/>
          <w:sz w:val="18"/>
          <w:szCs w:val="18"/>
          <w:u w:val="single"/>
          <w:lang w:val="es-ES_tradnl" w:eastAsia="es-ES"/>
        </w:rPr>
        <w:t>Desayuno</w:t>
      </w:r>
      <w:r>
        <w:rPr>
          <w:rFonts w:eastAsia="Times New Roman" w:cs="Arial" w:ascii="Arial" w:hAnsi="Arial"/>
          <w:sz w:val="18"/>
          <w:szCs w:val="18"/>
          <w:lang w:val="es-ES_tradnl" w:eastAsia="es-ES"/>
        </w:rPr>
        <w:t>. A la hora acordada traslado al aeropuerto para tomar vuelo con destino a Ushuaia (no incluido). Recepción y traslado al hotel. Alojamiento.</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5</w:t>
        <w:tab/>
        <w:t>Ushuaia (excursión al Parque Nacional Tierra del Fuego)</w:t>
      </w:r>
    </w:p>
    <w:p>
      <w:pPr>
        <w:pStyle w:val="Default"/>
        <w:jc w:val="both"/>
        <w:rPr>
          <w:rFonts w:ascii="Arial" w:hAnsi="Arial" w:eastAsia="Times New Roman" w:cs="Arial"/>
          <w:b/>
          <w:b/>
          <w:i/>
          <w:i/>
          <w:sz w:val="18"/>
          <w:szCs w:val="18"/>
          <w:u w:val="single"/>
          <w:lang w:val="es-ES_tradnl" w:eastAsia="es-ES"/>
        </w:rPr>
      </w:pPr>
      <w:r>
        <w:rPr>
          <w:rFonts w:eastAsia="Times New Roman" w:cs="Arial" w:ascii="Arial" w:hAnsi="Arial"/>
          <w:b/>
          <w:i/>
          <w:sz w:val="18"/>
          <w:szCs w:val="18"/>
          <w:u w:val="single"/>
          <w:lang w:val="es-ES_tradnl" w:eastAsia="es-ES"/>
        </w:rPr>
        <w:t>Desayuno</w:t>
      </w:r>
      <w:r>
        <w:rPr>
          <w:rFonts w:eastAsia="Times New Roman" w:cs="Arial" w:ascii="Arial" w:hAnsi="Arial"/>
          <w:b/>
          <w:i/>
          <w:sz w:val="18"/>
          <w:szCs w:val="18"/>
          <w:lang w:val="es-ES_tradnl" w:eastAsia="es-ES"/>
        </w:rPr>
        <w:t xml:space="preserve">. </w:t>
      </w:r>
      <w:r>
        <w:rPr>
          <w:rFonts w:cs="Arial" w:ascii="Arial" w:hAnsi="Arial"/>
          <w:sz w:val="18"/>
          <w:szCs w:val="18"/>
        </w:rPr>
        <w:t>El Parque Nacional Tierra del Fuego se encuentra ubicado a sólo 12 km de Ushuaia</w:t>
      </w:r>
      <w:r>
        <w:rPr>
          <w:rFonts w:eastAsia="Times New Roman" w:cs="Arial" w:ascii="Arial" w:hAnsi="Arial"/>
          <w:sz w:val="18"/>
          <w:szCs w:val="18"/>
          <w:lang w:val="es-ES_tradnl" w:eastAsia="es-ES"/>
        </w:rPr>
        <w:t xml:space="preserve">. Ocupa una superficie de 63000 hectáreas donde conviven lengas, guindos, ñires, calafates, notros, flores como las orquídeas, violetas y senecios. Un paseo por este Parque Nacional, además de ofrecer múltiples vistas panorámicas sobre el Canal Beagle enmarcado por las montañas y el bosque, nos acerca a la naturaleza. La oportunidad de respirar el aire marino junto con el perfume del bosque es privilegio de pocos. Seguiremos el recorrido por el camino que va trazando una franja muy delgada en el faldeo de la montaña; pasaremos entre turbales, diques de castores y arribaremos al Río Lapataia. Al cruzarlo la ruta se vuelve serpenteante y salpicada de vegetación arbustiva, con vistas panorámicas, como, por ejemplo, sobre la Laguna Verde. Los Kaikenes y las Bandurrias llegan aquí todos los veranos. Si desea sentirse protagonista de un cuento, le recomendamos la caminata por el Sendero que conduce a la Laguna Negra o por el Sendero Los Castores, para interpretar el trabajo de estos curiosos animales. Comienza entonces el tramo final hacia Lapataia (final de la Ruta Nacional Nº 3), donde los antiguos habitantes de la zona han dejado su testimonio: los concheros, increíbles yacimientos arqueológicos. Antes de emprender el regreso a Ushuaia se realiza una parada frente al Lago Roca, cuyo color varía según el estado del tiempo, con la posibilidad de saborear un chocolate en la confitería. Alojamiento. </w:t>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r>
    </w:p>
    <w:p>
      <w:pPr>
        <w:pStyle w:val="Normal"/>
        <w:rPr/>
      </w:pPr>
      <w:r>
        <w:rPr/>
      </w:r>
      <w:r>
        <w:br w:type="page"/>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6</w:t>
        <w:tab/>
        <w:t>Ushuaia – Buenos Aires</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b/>
          <w:i/>
          <w:sz w:val="18"/>
          <w:szCs w:val="18"/>
          <w:u w:val="single"/>
          <w:lang w:val="es-ES_tradnl" w:eastAsia="es-ES"/>
        </w:rPr>
        <w:t>Desayuno</w:t>
      </w:r>
      <w:r>
        <w:rPr>
          <w:rFonts w:eastAsia="Times New Roman" w:cs="Arial" w:ascii="Arial" w:hAnsi="Arial"/>
          <w:b/>
          <w:sz w:val="18"/>
          <w:szCs w:val="18"/>
          <w:lang w:val="es-ES_tradnl" w:eastAsia="es-ES"/>
        </w:rPr>
        <w:t>.</w:t>
      </w:r>
      <w:r>
        <w:rPr>
          <w:rFonts w:eastAsia="Times New Roman" w:cs="Arial" w:ascii="Arial" w:hAnsi="Arial"/>
          <w:sz w:val="18"/>
          <w:szCs w:val="18"/>
          <w:lang w:val="es-ES_tradnl" w:eastAsia="es-ES"/>
        </w:rPr>
        <w:t xml:space="preserve"> A la hora acordada traslado al aeropuerto para tomar vuelo con destino a Buenos Aires (no incluido). Recepción y traslado al hotel. Alojamiento.</w:t>
      </w:r>
    </w:p>
    <w:p>
      <w:pPr>
        <w:pStyle w:val="Normal"/>
        <w:spacing w:lineRule="auto" w:line="240" w:before="0" w:after="0"/>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r>
    </w:p>
    <w:p>
      <w:pPr>
        <w:pStyle w:val="NoSpacing"/>
        <w:widowControl w:val="false"/>
        <w:jc w:val="both"/>
        <w:textAlignment w:val="baseline"/>
        <w:rPr>
          <w:rFonts w:ascii="Arial" w:hAnsi="Arial" w:cs="Arial"/>
          <w:i/>
          <w:i/>
          <w:iCs/>
          <w:color w:val="7F7F7F" w:themeColor="text1" w:themeTint="80"/>
          <w:sz w:val="18"/>
          <w:szCs w:val="18"/>
          <w:shd w:fill="FFFFFF" w:val="clear"/>
        </w:rPr>
      </w:pPr>
      <w:r>
        <w:rPr>
          <w:rFonts w:cs="Arial" w:ascii="Arial" w:hAnsi="Arial"/>
          <w:i/>
          <w:iCs/>
          <w:color w:val="7F7F7F" w:themeColor="text1" w:themeTint="80"/>
          <w:sz w:val="18"/>
          <w:szCs w:val="18"/>
          <w:lang w:val="es-ES_tradnl" w:eastAsia="es-ES"/>
        </w:rPr>
        <w:t>Nota: Para los traslados con vuelos domésticos a Buenos Aires, deben llegar al Aeroparque</w:t>
      </w:r>
      <w:r>
        <w:rPr>
          <w:rFonts w:cs="Arial" w:ascii="Arial" w:hAnsi="Arial"/>
          <w:i/>
          <w:iCs/>
          <w:color w:val="7F7F7F" w:themeColor="text1" w:themeTint="80"/>
          <w:sz w:val="18"/>
          <w:szCs w:val="18"/>
        </w:rPr>
        <w:t xml:space="preserve"> Jorge Newbery</w:t>
      </w:r>
      <w:r>
        <w:rPr>
          <w:rFonts w:cs="Arial" w:ascii="Arial" w:hAnsi="Arial"/>
          <w:i/>
          <w:iCs/>
          <w:color w:val="7F7F7F" w:themeColor="text1" w:themeTint="80"/>
          <w:sz w:val="18"/>
          <w:szCs w:val="18"/>
          <w:shd w:fill="FFFFFF" w:val="clear"/>
        </w:rPr>
        <w:t xml:space="preserve"> (AEP), en caso de ser al Aeropuerto Internacional de Ezeiza (EZE) se cobrará un suplemento.  Considerar que el Aeropuerto Internacional de Ezeiza (EZE) se encuentra a 45 min de la ciudad, por lo que no se recomienda tomar vuelos con salidas antes de las 6:00 hrs. </w:t>
      </w:r>
    </w:p>
    <w:p>
      <w:pPr>
        <w:pStyle w:val="Normal"/>
        <w:spacing w:lineRule="auto" w:line="240" w:before="0" w:after="0"/>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before="0" w:after="0"/>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7</w:t>
        <w:tab/>
        <w:t xml:space="preserve"> Buenos Aires (visita de ciudad)</w:t>
      </w:r>
    </w:p>
    <w:p>
      <w:pPr>
        <w:pStyle w:val="Normal"/>
        <w:spacing w:lineRule="auto" w:line="240" w:before="0" w:after="0"/>
        <w:jc w:val="both"/>
        <w:rPr>
          <w:rFonts w:ascii="Arial" w:hAnsi="Arial" w:eastAsia="Times New Roman" w:cs="Arial"/>
          <w:sz w:val="18"/>
          <w:szCs w:val="18"/>
          <w:lang w:val="es-ES" w:eastAsia="es-ES"/>
        </w:rPr>
      </w:pPr>
      <w:r>
        <w:rPr>
          <w:rFonts w:eastAsia="Times New Roman" w:cs="Arial" w:ascii="Arial" w:hAnsi="Arial"/>
          <w:b/>
          <w:bCs/>
          <w:i/>
          <w:iCs/>
          <w:sz w:val="18"/>
          <w:szCs w:val="18"/>
          <w:u w:val="single"/>
          <w:lang w:val="es-ES" w:eastAsia="es-ES"/>
        </w:rPr>
        <w:t>Desayuno</w:t>
      </w:r>
      <w:r>
        <w:rPr>
          <w:rFonts w:eastAsia="Times New Roman" w:cs="Arial" w:ascii="Arial" w:hAnsi="Arial"/>
          <w:b/>
          <w:bCs/>
          <w:sz w:val="18"/>
          <w:szCs w:val="18"/>
          <w:lang w:val="es-ES" w:eastAsia="es-ES"/>
        </w:rPr>
        <w:t>.</w:t>
      </w:r>
      <w:r>
        <w:rPr>
          <w:rFonts w:eastAsia="Times New Roman" w:cs="Arial" w:ascii="Arial" w:hAnsi="Arial"/>
          <w:sz w:val="18"/>
          <w:szCs w:val="18"/>
          <w:lang w:val="es-ES" w:eastAsia="es-ES"/>
        </w:rPr>
        <w:t xml:space="preserve"> Descubra la ciudad de Buenos Aires comenzando por la Avenida 9 de Julio, el Teatro Lirico más importante de la Argentina Teatro Colon, Obelisco. Nos desviaremos por el ave. de Mayo hasta el edificio del Congreso Nacional que junto con la Plaza de Mayo, la Catedral, la Casa de Gobierno y el Cabildo conforman el centro cívico porteño. Continuaremos hacia los barrios del Sur y el tradicional San Telmo donde el tango tuvo sus comienzos y el colorido barrio de La Boca con su típica calle Museo Caminito. Dirigiéndonos a los barrios del norte conoceremos Puerto Madero, Retiro y la exclusiva zona residencial de Palermo para finalizar con los elegantes cafés y restaurantes del barrio de la Recoleta, donde se encuentra uno de los más famosos cementerios del mundo. Alojamiento.</w:t>
      </w:r>
    </w:p>
    <w:p>
      <w:pPr>
        <w:pStyle w:val="Normal"/>
        <w:spacing w:lineRule="auto" w:line="240" w:before="0" w:after="0"/>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8</w:t>
        <w:tab/>
        <w:t>Buenos Aires</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b/>
          <w:i/>
          <w:sz w:val="18"/>
          <w:szCs w:val="18"/>
          <w:u w:val="single"/>
          <w:lang w:val="es-ES_tradnl" w:eastAsia="es-ES"/>
        </w:rPr>
        <w:t>Desayuno</w:t>
      </w:r>
      <w:r>
        <w:rPr>
          <w:rFonts w:eastAsia="Times New Roman" w:cs="Arial" w:ascii="Arial" w:hAnsi="Arial"/>
          <w:b/>
          <w:sz w:val="18"/>
          <w:szCs w:val="18"/>
          <w:lang w:val="es-ES_tradnl" w:eastAsia="es-ES"/>
        </w:rPr>
        <w:t>.</w:t>
      </w:r>
      <w:r>
        <w:rPr>
          <w:rFonts w:eastAsia="Times New Roman" w:cs="Arial" w:ascii="Arial" w:hAnsi="Arial"/>
          <w:sz w:val="18"/>
          <w:szCs w:val="18"/>
          <w:lang w:val="es-ES_tradnl" w:eastAsia="es-ES"/>
        </w:rPr>
        <w:t xml:space="preserve"> Día libre para actividades personales. Alojamiento.</w:t>
      </w:r>
    </w:p>
    <w:p>
      <w:pPr>
        <w:pStyle w:val="Normal"/>
        <w:spacing w:lineRule="auto" w:line="240" w:before="0" w:after="0"/>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9</w:t>
        <w:tab/>
        <w:t xml:space="preserve"> Buenos Aires</w:t>
      </w:r>
    </w:p>
    <w:p>
      <w:pPr>
        <w:pStyle w:val="Normal"/>
        <w:spacing w:lineRule="auto" w:line="240" w:before="0" w:after="0"/>
        <w:rPr>
          <w:rFonts w:ascii="Arial" w:hAnsi="Arial" w:eastAsia="Times New Roman" w:cs="Arial"/>
          <w:sz w:val="18"/>
          <w:szCs w:val="18"/>
          <w:lang w:val="es-ES_tradnl" w:eastAsia="es-ES"/>
        </w:rPr>
      </w:pPr>
      <w:r>
        <w:rPr>
          <w:rFonts w:eastAsia="Times New Roman" w:cs="Arial" w:ascii="Arial" w:hAnsi="Arial"/>
          <w:b/>
          <w:bCs/>
          <w:i/>
          <w:iCs/>
          <w:sz w:val="18"/>
          <w:szCs w:val="18"/>
          <w:u w:val="single"/>
          <w:lang w:val="es-ES" w:eastAsia="es-ES"/>
        </w:rPr>
        <w:t>Desayuno</w:t>
      </w:r>
      <w:r>
        <w:rPr>
          <w:rFonts w:eastAsia="Times New Roman" w:cs="Arial" w:ascii="Arial" w:hAnsi="Arial"/>
          <w:b/>
          <w:bCs/>
          <w:sz w:val="18"/>
          <w:szCs w:val="18"/>
          <w:lang w:val="es-ES" w:eastAsia="es-ES"/>
        </w:rPr>
        <w:t>.</w:t>
      </w:r>
      <w:r>
        <w:rPr>
          <w:rFonts w:eastAsia="Times New Roman" w:cs="Arial" w:ascii="Arial" w:hAnsi="Arial"/>
          <w:sz w:val="18"/>
          <w:szCs w:val="18"/>
          <w:lang w:val="es-ES" w:eastAsia="es-ES"/>
        </w:rPr>
        <w:t xml:space="preserve"> A la hora programada traslado al aeropuerto para abordar su vuelo de salida.</w:t>
      </w:r>
    </w:p>
    <w:p>
      <w:pPr>
        <w:pStyle w:val="Normal"/>
        <w:spacing w:lineRule="auto" w:line="240" w:before="0" w:after="0"/>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jc w:val="right"/>
        <w:rPr>
          <w:rFonts w:ascii="Arial" w:hAnsi="Arial" w:eastAsia="Times New Roman" w:cs="Arial"/>
          <w:color w:val="000000"/>
          <w:sz w:val="18"/>
          <w:szCs w:val="18"/>
          <w:lang w:val="es-ES_tradnl" w:eastAsia="es-ES"/>
        </w:rPr>
      </w:pPr>
      <w:r>
        <w:rPr>
          <w:rFonts w:eastAsia="Times New Roman" w:cs="Arial" w:ascii="Arial" w:hAnsi="Arial"/>
          <w:b/>
          <w:color w:val="E36C0A" w:themeColor="accent6" w:themeShade="bf"/>
          <w:sz w:val="18"/>
          <w:szCs w:val="18"/>
          <w:lang w:val="es-ES_tradnl" w:eastAsia="es-ES"/>
        </w:rPr>
        <w:t xml:space="preserve"> </w:t>
      </w:r>
      <w:r>
        <w:rPr>
          <w:rFonts w:eastAsia="Times New Roman" w:cs="Arial" w:ascii="Arial" w:hAnsi="Arial"/>
          <w:b/>
          <w:color w:val="E36C0A" w:themeColor="accent6" w:themeShade="bf"/>
          <w:sz w:val="18"/>
          <w:szCs w:val="18"/>
          <w:lang w:val="es-ES_tradnl" w:eastAsia="es-ES"/>
        </w:rPr>
        <w:t>FIN DE LOS SERVICIOS</w:t>
      </w:r>
      <w:r>
        <w:rPr>
          <w:rFonts w:eastAsia="Times New Roman" w:cs="Arial" w:ascii="Arial" w:hAnsi="Arial"/>
          <w:color w:val="000000"/>
          <w:sz w:val="18"/>
          <w:szCs w:val="18"/>
          <w:lang w:val="es-ES_tradnl" w:eastAsia="es-ES"/>
        </w:rPr>
        <w:t>.</w:t>
      </w:r>
    </w:p>
    <w:p>
      <w:pPr>
        <w:pStyle w:val="Normal"/>
        <w:spacing w:lineRule="auto" w:line="240" w:before="0" w:after="0"/>
        <w:jc w:val="right"/>
        <w:rPr>
          <w:rFonts w:ascii="Arial" w:hAnsi="Arial" w:eastAsia="Times New Roman" w:cs="Arial"/>
          <w:color w:val="000000"/>
          <w:sz w:val="18"/>
          <w:szCs w:val="18"/>
          <w:lang w:val="es-ES_tradnl" w:eastAsia="es-ES"/>
        </w:rPr>
      </w:pPr>
      <w:r>
        <w:rPr>
          <w:rFonts w:eastAsia="Times New Roman" w:cs="Arial" w:ascii="Arial" w:hAnsi="Arial"/>
          <w:color w:val="000000"/>
          <w:sz w:val="18"/>
          <w:szCs w:val="18"/>
          <w:lang w:val="es-ES_tradnl" w:eastAsia="es-ES"/>
        </w:rPr>
      </w:r>
    </w:p>
    <w:p>
      <w:pPr>
        <w:pStyle w:val="Normal"/>
        <w:spacing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HOTELES PREVISTOS O SIMILARES:</w:t>
      </w:r>
    </w:p>
    <w:p>
      <w:pPr>
        <w:pStyle w:val="Normal"/>
        <w:spacing w:before="0" w:after="0"/>
        <w:rPr>
          <w:rFonts w:ascii="Arial" w:hAnsi="Arial" w:eastAsia="Times New Roman" w:cs="Arial"/>
          <w:b/>
          <w:b/>
          <w:color w:val="E36C0A" w:themeColor="accent6" w:themeShade="bf"/>
          <w:sz w:val="10"/>
          <w:szCs w:val="10"/>
          <w:u w:val="single"/>
          <w:lang w:val="es-ES_tradnl" w:eastAsia="es-ES"/>
        </w:rPr>
      </w:pPr>
      <w:r>
        <w:rPr>
          <w:rFonts w:eastAsia="Times New Roman" w:cs="Arial" w:ascii="Arial" w:hAnsi="Arial"/>
          <w:b/>
          <w:color w:val="E36C0A" w:themeColor="accent6" w:themeShade="bf"/>
          <w:sz w:val="10"/>
          <w:szCs w:val="10"/>
          <w:u w:val="single"/>
          <w:lang w:val="es-ES_tradnl" w:eastAsia="es-ES"/>
        </w:rPr>
      </w:r>
    </w:p>
    <w:tbl>
      <w:tblPr>
        <w:tblStyle w:val="Tablaconcuadrcula"/>
        <w:tblW w:w="694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384"/>
        <w:gridCol w:w="1871"/>
        <w:gridCol w:w="1843"/>
        <w:gridCol w:w="1843"/>
      </w:tblGrid>
      <w:tr>
        <w:trPr>
          <w:trHeight w:val="340" w:hRule="atLeast"/>
        </w:trPr>
        <w:tc>
          <w:tcPr>
            <w:tcW w:w="1384"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spacing w:lineRule="auto" w:line="240" w:before="0" w:after="0"/>
              <w:jc w:val="center"/>
              <w:rPr>
                <w:rFonts w:ascii="Arial" w:hAnsi="Arial" w:eastAsia="Times New Roman" w:cs="Arial"/>
                <w:b/>
                <w:b/>
                <w:color w:val="FFFFFF" w:themeColor="background1"/>
                <w:sz w:val="18"/>
                <w:szCs w:val="18"/>
                <w:lang w:val="es-ES_tradnl" w:eastAsia="es-ES"/>
              </w:rPr>
            </w:pPr>
            <w:r>
              <w:rPr>
                <w:rFonts w:eastAsia="Times New Roman" w:cs="Arial" w:ascii="Arial" w:hAnsi="Arial"/>
                <w:b/>
                <w:color w:val="FFFFFF" w:themeColor="background1"/>
                <w:kern w:val="0"/>
                <w:sz w:val="18"/>
                <w:szCs w:val="18"/>
                <w:lang w:val="es-ES_tradnl" w:eastAsia="es-ES" w:bidi="ar-SA"/>
              </w:rPr>
              <w:t>CATEGORÍA</w:t>
            </w:r>
          </w:p>
        </w:tc>
        <w:tc>
          <w:tcPr>
            <w:tcW w:w="1871"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spacing w:lineRule="auto" w:line="240" w:before="0" w:after="0"/>
              <w:jc w:val="center"/>
              <w:rPr>
                <w:rFonts w:ascii="Arial" w:hAnsi="Arial" w:eastAsia="Times New Roman" w:cs="Arial"/>
                <w:b/>
                <w:b/>
                <w:color w:val="FFFFFF" w:themeColor="background1"/>
                <w:sz w:val="18"/>
                <w:szCs w:val="18"/>
                <w:lang w:val="es-ES_tradnl" w:eastAsia="es-ES"/>
              </w:rPr>
            </w:pPr>
            <w:r>
              <w:rPr>
                <w:rFonts w:eastAsia="Times New Roman" w:cs="Arial" w:ascii="Arial" w:hAnsi="Arial"/>
                <w:b/>
                <w:color w:val="FFFFFF" w:themeColor="background1"/>
                <w:kern w:val="0"/>
                <w:sz w:val="18"/>
                <w:szCs w:val="18"/>
                <w:lang w:val="es-ES_tradnl" w:eastAsia="es-ES" w:bidi="ar-SA"/>
              </w:rPr>
              <w:t>BUENOS AIRES</w:t>
            </w:r>
          </w:p>
        </w:tc>
        <w:tc>
          <w:tcPr>
            <w:tcW w:w="1843"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spacing w:lineRule="auto" w:line="240" w:before="0" w:after="0"/>
              <w:jc w:val="center"/>
              <w:rPr>
                <w:rFonts w:ascii="Arial" w:hAnsi="Arial" w:eastAsia="Times New Roman" w:cs="Arial"/>
                <w:b/>
                <w:b/>
                <w:color w:val="FFFFFF" w:themeColor="background1"/>
                <w:sz w:val="18"/>
                <w:szCs w:val="18"/>
                <w:lang w:val="es-ES_tradnl" w:eastAsia="es-ES"/>
              </w:rPr>
            </w:pPr>
            <w:r>
              <w:rPr>
                <w:rFonts w:eastAsia="Times New Roman" w:cs="Arial" w:ascii="Arial" w:hAnsi="Arial"/>
                <w:b/>
                <w:color w:val="FFFFFF" w:themeColor="background1"/>
                <w:kern w:val="0"/>
                <w:sz w:val="18"/>
                <w:szCs w:val="18"/>
                <w:lang w:val="es-ES_tradnl" w:eastAsia="es-ES" w:bidi="ar-SA"/>
              </w:rPr>
              <w:t>EL CALAFATE</w:t>
            </w:r>
          </w:p>
        </w:tc>
        <w:tc>
          <w:tcPr>
            <w:tcW w:w="1843"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spacing w:lineRule="auto" w:line="240" w:before="0" w:after="0"/>
              <w:jc w:val="center"/>
              <w:rPr>
                <w:rFonts w:ascii="Arial" w:hAnsi="Arial" w:eastAsia="Times New Roman" w:cs="Arial"/>
                <w:b/>
                <w:b/>
                <w:color w:val="FFFFFF" w:themeColor="background1"/>
                <w:sz w:val="18"/>
                <w:szCs w:val="18"/>
                <w:lang w:val="es-ES_tradnl" w:eastAsia="es-ES"/>
              </w:rPr>
            </w:pPr>
            <w:r>
              <w:rPr>
                <w:rFonts w:eastAsia="Times New Roman" w:cs="Arial" w:ascii="Arial" w:hAnsi="Arial"/>
                <w:b/>
                <w:color w:val="FFFFFF" w:themeColor="background1"/>
                <w:kern w:val="0"/>
                <w:sz w:val="18"/>
                <w:szCs w:val="18"/>
                <w:lang w:val="es-ES_tradnl" w:eastAsia="es-ES" w:bidi="ar-SA"/>
              </w:rPr>
              <w:t>USHUAIA</w:t>
            </w:r>
          </w:p>
        </w:tc>
      </w:tr>
      <w:tr>
        <w:trPr>
          <w:trHeight w:val="340" w:hRule="atLeast"/>
        </w:trPr>
        <w:tc>
          <w:tcPr>
            <w:tcW w:w="1384"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spacing w:lineRule="auto" w:line="240" w:before="0" w:after="0"/>
              <w:jc w:val="center"/>
              <w:rPr>
                <w:rFonts w:ascii="Arial" w:hAnsi="Arial" w:eastAsia="Times New Roman" w:cs="Arial"/>
                <w:b/>
                <w:b/>
                <w:color w:val="000000" w:themeColor="text1"/>
                <w:sz w:val="18"/>
                <w:szCs w:val="18"/>
                <w:lang w:val="es-ES_tradnl" w:eastAsia="es-ES"/>
              </w:rPr>
            </w:pPr>
            <w:r>
              <w:rPr>
                <w:rFonts w:eastAsia="Times New Roman" w:cs="Arial" w:ascii="Arial" w:hAnsi="Arial"/>
                <w:b/>
                <w:color w:val="000000" w:themeColor="text1"/>
                <w:kern w:val="0"/>
                <w:sz w:val="18"/>
                <w:szCs w:val="18"/>
                <w:lang w:val="es-ES_tradnl" w:eastAsia="es-ES" w:bidi="ar-SA"/>
              </w:rPr>
              <w:t>Turista</w:t>
            </w:r>
          </w:p>
        </w:tc>
        <w:tc>
          <w:tcPr>
            <w:tcW w:w="1871"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Two Buenos Aires</w:t>
            </w:r>
          </w:p>
        </w:tc>
        <w:tc>
          <w:tcPr>
            <w:tcW w:w="1843"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Terraza Coirones</w:t>
            </w:r>
          </w:p>
        </w:tc>
        <w:tc>
          <w:tcPr>
            <w:tcW w:w="1843"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Los Acebos</w:t>
            </w:r>
          </w:p>
        </w:tc>
      </w:tr>
      <w:tr>
        <w:trPr>
          <w:trHeight w:val="340" w:hRule="atLeast"/>
        </w:trPr>
        <w:tc>
          <w:tcPr>
            <w:tcW w:w="1384"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spacing w:lineRule="auto" w:line="240" w:before="0" w:after="0"/>
              <w:jc w:val="center"/>
              <w:rPr>
                <w:rFonts w:ascii="Arial" w:hAnsi="Arial" w:eastAsia="Times New Roman" w:cs="Arial"/>
                <w:b/>
                <w:b/>
                <w:color w:val="000000" w:themeColor="text1"/>
                <w:sz w:val="18"/>
                <w:szCs w:val="18"/>
                <w:lang w:val="es-ES_tradnl" w:eastAsia="es-ES"/>
              </w:rPr>
            </w:pPr>
            <w:r>
              <w:rPr>
                <w:rFonts w:eastAsia="Times New Roman" w:cs="Arial" w:ascii="Arial" w:hAnsi="Arial"/>
                <w:b/>
                <w:color w:val="000000" w:themeColor="text1"/>
                <w:kern w:val="0"/>
                <w:sz w:val="18"/>
                <w:szCs w:val="18"/>
                <w:lang w:val="es-ES_tradnl" w:eastAsia="es-ES" w:bidi="ar-SA"/>
              </w:rPr>
              <w:t>Primera</w:t>
            </w:r>
          </w:p>
        </w:tc>
        <w:tc>
          <w:tcPr>
            <w:tcW w:w="1871"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NH City</w:t>
            </w:r>
          </w:p>
        </w:tc>
        <w:tc>
          <w:tcPr>
            <w:tcW w:w="1843"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Mirador del Lago</w:t>
            </w:r>
          </w:p>
        </w:tc>
        <w:tc>
          <w:tcPr>
            <w:tcW w:w="1843"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Fueguino</w:t>
            </w:r>
          </w:p>
        </w:tc>
      </w:tr>
      <w:tr>
        <w:trPr>
          <w:trHeight w:val="340" w:hRule="atLeast"/>
        </w:trPr>
        <w:tc>
          <w:tcPr>
            <w:tcW w:w="1384"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spacing w:lineRule="auto" w:line="240" w:before="0" w:after="0"/>
              <w:jc w:val="center"/>
              <w:rPr>
                <w:rFonts w:ascii="Arial" w:hAnsi="Arial" w:eastAsia="Times New Roman" w:cs="Arial"/>
                <w:b/>
                <w:b/>
                <w:color w:val="000000" w:themeColor="text1"/>
                <w:sz w:val="18"/>
                <w:szCs w:val="18"/>
                <w:lang w:val="es-ES_tradnl" w:eastAsia="es-ES"/>
              </w:rPr>
            </w:pPr>
            <w:r>
              <w:rPr>
                <w:rFonts w:eastAsia="Times New Roman" w:cs="Arial" w:ascii="Arial" w:hAnsi="Arial"/>
                <w:b/>
                <w:color w:val="000000" w:themeColor="text1"/>
                <w:kern w:val="0"/>
                <w:sz w:val="18"/>
                <w:szCs w:val="18"/>
                <w:lang w:val="es-ES_tradnl" w:eastAsia="es-ES" w:bidi="ar-SA"/>
              </w:rPr>
              <w:t>Superior</w:t>
            </w:r>
          </w:p>
        </w:tc>
        <w:tc>
          <w:tcPr>
            <w:tcW w:w="1871"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InterContinental Buenos Aires</w:t>
            </w:r>
          </w:p>
        </w:tc>
        <w:tc>
          <w:tcPr>
            <w:tcW w:w="1843"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Xelena</w:t>
            </w:r>
          </w:p>
        </w:tc>
        <w:tc>
          <w:tcPr>
            <w:tcW w:w="1843"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Las Hayas</w:t>
            </w:r>
          </w:p>
        </w:tc>
      </w:tr>
    </w:tbl>
    <w:p>
      <w:pPr>
        <w:pStyle w:val="Normal"/>
        <w:spacing w:lineRule="auto" w:line="240" w:before="0" w:after="0"/>
        <w:rPr>
          <w:rFonts w:ascii="Arial" w:hAnsi="Arial" w:cs="Arial"/>
          <w:b/>
          <w:b/>
          <w:bCs/>
          <w:i/>
          <w:i/>
          <w:iCs/>
          <w:sz w:val="18"/>
          <w:szCs w:val="18"/>
        </w:rPr>
      </w:pPr>
      <w:r>
        <w:rPr/>
      </w:r>
    </w:p>
    <w:p>
      <w:pPr>
        <w:pStyle w:val="Normal"/>
        <w:spacing w:lineRule="auto" w:line="240" w:before="0" w:after="0"/>
        <w:jc w:val="center"/>
        <w:rPr/>
      </w:pPr>
      <w:r>
        <w:rPr>
          <w:rFonts w:cs="Arial" w:ascii="Arial" w:hAnsi="Arial"/>
          <w:b/>
          <w:bCs/>
          <w:i/>
          <w:iCs/>
          <w:sz w:val="18"/>
          <w:szCs w:val="18"/>
        </w:rPr>
        <w:t xml:space="preserve">Nota: Hoteles mencionados solo son informativos, los hoteles confirmados se les hará saber al momento de realizar la reservación. </w:t>
      </w:r>
    </w:p>
    <w:p>
      <w:pPr>
        <w:pStyle w:val="Normal"/>
        <w:spacing w:lineRule="auto" w:line="240" w:before="0" w:after="0"/>
        <w:jc w:val="center"/>
        <w:rPr/>
      </w:pPr>
      <w:r>
        <w:rPr>
          <w:rFonts w:cs="Arial" w:ascii="Arial" w:hAnsi="Arial"/>
          <w:b/>
          <w:bCs/>
          <w:i/>
          <w:iCs/>
          <w:sz w:val="18"/>
          <w:szCs w:val="18"/>
        </w:rPr>
        <w:t xml:space="preserve">Nos reservamos el derecho de cambio de hotel, respetando siempre la misma categoría. </w:t>
      </w:r>
    </w:p>
    <w:p>
      <w:pPr>
        <w:pStyle w:val="Normal"/>
        <w:spacing w:lineRule="auto" w:line="240" w:before="0" w:after="0"/>
        <w:jc w:val="center"/>
        <w:rPr/>
      </w:pPr>
      <w:r>
        <w:rPr>
          <w:rFonts w:cs="Arial" w:ascii="Arial" w:hAnsi="Arial"/>
          <w:b/>
          <w:bCs/>
          <w:i/>
          <w:iCs/>
          <w:sz w:val="18"/>
          <w:szCs w:val="18"/>
        </w:rPr>
        <w:t>Todas las habitaciones son estándar, consulte a su ejecutivo para cambio de habitación.</w:t>
      </w:r>
    </w:p>
    <w:p>
      <w:pPr>
        <w:pStyle w:val="Normal"/>
        <w:spacing w:lineRule="auto" w:line="240" w:before="0" w:after="0"/>
        <w:rPr>
          <w:rFonts w:ascii="Arial" w:hAnsi="Arial" w:eastAsia="Times New Roman" w:cs="Arial"/>
          <w:b/>
          <w:b/>
          <w:color w:val="000000"/>
          <w:sz w:val="18"/>
          <w:szCs w:val="18"/>
          <w:u w:val="single"/>
          <w:lang w:val="es-MX" w:eastAsia="es-ES"/>
        </w:rPr>
      </w:pPr>
      <w:r>
        <w:rPr>
          <w:rFonts w:eastAsia="Times New Roman" w:cs="Arial" w:ascii="Arial" w:hAnsi="Arial"/>
          <w:b/>
          <w:color w:val="000000"/>
          <w:sz w:val="18"/>
          <w:szCs w:val="18"/>
          <w:u w:val="single"/>
          <w:lang w:val="es-MX"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PRECIO POR PERSONA EN USD: </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tbl>
      <w:tblPr>
        <w:tblW w:w="9351"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838"/>
        <w:gridCol w:w="1219"/>
        <w:gridCol w:w="1191"/>
        <w:gridCol w:w="1275"/>
        <w:gridCol w:w="1276"/>
        <w:gridCol w:w="1275"/>
        <w:gridCol w:w="1276"/>
      </w:tblGrid>
      <w:tr>
        <w:trPr>
          <w:trHeight w:val="340" w:hRule="atLeast"/>
        </w:trPr>
        <w:tc>
          <w:tcPr>
            <w:tcW w:w="1838" w:type="dxa"/>
            <w:tcBorders>
              <w:top w:val="single" w:sz="4" w:space="0" w:color="E76C0F"/>
              <w:left w:val="single" w:sz="4" w:space="0" w:color="E76C0F"/>
              <w:bottom w:val="single" w:sz="4" w:space="0" w:color="E76C0F"/>
              <w:right w:val="single" w:sz="4" w:space="0" w:color="E76C0F"/>
            </w:tcBorders>
            <w:shd w:color="000000" w:fill="DE6F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1219" w:type="dxa"/>
            <w:tcBorders>
              <w:top w:val="single" w:sz="4" w:space="0" w:color="E76C0F"/>
              <w:bottom w:val="single" w:sz="4" w:space="0" w:color="E76C0F"/>
              <w:right w:val="single" w:sz="4" w:space="0" w:color="E76C0F"/>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191" w:type="dxa"/>
            <w:tcBorders>
              <w:top w:val="single" w:sz="4" w:space="0" w:color="E76C0F"/>
              <w:bottom w:val="single" w:sz="4" w:space="0" w:color="E76C0F"/>
              <w:right w:val="single" w:sz="4" w:space="0" w:color="E76C0F"/>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275" w:type="dxa"/>
            <w:tcBorders>
              <w:top w:val="single" w:sz="4" w:space="0" w:color="E76C0F"/>
              <w:bottom w:val="single" w:sz="4" w:space="0" w:color="E76C0F"/>
              <w:right w:val="single" w:sz="4" w:space="0" w:color="E76C0F"/>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276" w:type="dxa"/>
            <w:tcBorders>
              <w:top w:val="single" w:sz="4" w:space="0" w:color="E76C0F"/>
              <w:bottom w:val="single" w:sz="4" w:space="0" w:color="E76C0F"/>
              <w:right w:val="single" w:sz="4" w:space="0" w:color="E76C0F"/>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275" w:type="dxa"/>
            <w:tcBorders>
              <w:top w:val="single" w:sz="4" w:space="0" w:color="E76C0F"/>
              <w:bottom w:val="single" w:sz="4" w:space="0" w:color="E76C0F"/>
              <w:right w:val="single" w:sz="4" w:space="0" w:color="E76C0F"/>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02 -10 AÑOS</w:t>
            </w:r>
          </w:p>
        </w:tc>
        <w:tc>
          <w:tcPr>
            <w:tcW w:w="1276" w:type="dxa"/>
            <w:tcBorders>
              <w:top w:val="single" w:sz="4" w:space="0" w:color="E76C0F"/>
              <w:bottom w:val="single" w:sz="4" w:space="0" w:color="E76C0F"/>
              <w:right w:val="single" w:sz="4" w:space="0" w:color="E76C0F"/>
            </w:tcBorders>
            <w:shd w:color="000000" w:fill="595959"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*PVS</w:t>
            </w:r>
          </w:p>
        </w:tc>
      </w:tr>
      <w:tr>
        <w:trPr>
          <w:trHeight w:val="340" w:hRule="atLeast"/>
        </w:trPr>
        <w:tc>
          <w:tcPr>
            <w:tcW w:w="1838" w:type="dxa"/>
            <w:tcBorders>
              <w:left w:val="single" w:sz="4" w:space="0" w:color="E76C0F"/>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01/03/24 - 12/03/24</w:t>
              <w:br/>
              <w:t>01/04/24 - 18/06/24</w:t>
              <w:br/>
              <w:t>01/08/24 - 19/09/24</w:t>
            </w:r>
          </w:p>
        </w:tc>
        <w:tc>
          <w:tcPr>
            <w:tcW w:w="1219" w:type="dxa"/>
            <w:vMerge w:val="restart"/>
            <w:tcBorders>
              <w:left w:val="single" w:sz="4" w:space="0" w:color="E76C0F"/>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191" w:type="dxa"/>
            <w:tcBorders>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1,698</w:t>
            </w:r>
          </w:p>
        </w:tc>
        <w:tc>
          <w:tcPr>
            <w:tcW w:w="1275" w:type="dxa"/>
            <w:tcBorders>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USD 1,118</w:t>
            </w:r>
          </w:p>
        </w:tc>
        <w:tc>
          <w:tcPr>
            <w:tcW w:w="1276" w:type="dxa"/>
            <w:tcBorders>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1,068</w:t>
            </w:r>
          </w:p>
        </w:tc>
        <w:tc>
          <w:tcPr>
            <w:tcW w:w="1275" w:type="dxa"/>
            <w:tcBorders>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1,068</w:t>
            </w:r>
          </w:p>
        </w:tc>
        <w:tc>
          <w:tcPr>
            <w:tcW w:w="1276" w:type="dxa"/>
            <w:tcBorders>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1,948</w:t>
            </w:r>
          </w:p>
        </w:tc>
      </w:tr>
      <w:tr>
        <w:trPr>
          <w:trHeight w:val="340" w:hRule="atLeast"/>
        </w:trPr>
        <w:tc>
          <w:tcPr>
            <w:tcW w:w="1838" w:type="dxa"/>
            <w:tcBorders>
              <w:left w:val="single" w:sz="4" w:space="0" w:color="E76C0F"/>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01/10/24 - 10/12/24</w:t>
              <w:br/>
              <w:t xml:space="preserve">06/01/25 - 31/01/25 </w:t>
              <w:br/>
              <w:t>17/02/25 - 19/03/25</w:t>
            </w:r>
          </w:p>
        </w:tc>
        <w:tc>
          <w:tcPr>
            <w:tcW w:w="1219" w:type="dxa"/>
            <w:vMerge w:val="continue"/>
            <w:tcBorders>
              <w:left w:val="single" w:sz="4" w:space="0" w:color="E76C0F"/>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91" w:type="dxa"/>
            <w:tcBorders>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1,811</w:t>
            </w:r>
          </w:p>
        </w:tc>
        <w:tc>
          <w:tcPr>
            <w:tcW w:w="1275" w:type="dxa"/>
            <w:tcBorders>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1,188</w:t>
            </w:r>
          </w:p>
        </w:tc>
        <w:tc>
          <w:tcPr>
            <w:tcW w:w="1276" w:type="dxa"/>
            <w:tcBorders>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1,141</w:t>
            </w:r>
          </w:p>
        </w:tc>
        <w:tc>
          <w:tcPr>
            <w:tcW w:w="1275" w:type="dxa"/>
            <w:tcBorders>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1,141</w:t>
            </w:r>
          </w:p>
        </w:tc>
        <w:tc>
          <w:tcPr>
            <w:tcW w:w="1276" w:type="dxa"/>
            <w:tcBorders>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2,082</w:t>
            </w:r>
          </w:p>
        </w:tc>
      </w:tr>
      <w:tr>
        <w:trPr>
          <w:trHeight w:val="340" w:hRule="atLeast"/>
        </w:trPr>
        <w:tc>
          <w:tcPr>
            <w:tcW w:w="1838" w:type="dxa"/>
            <w:tcBorders>
              <w:left w:val="single" w:sz="4" w:space="0" w:color="E76C0F"/>
              <w:bottom w:val="single" w:sz="4" w:space="0" w:color="E76C0F"/>
              <w:right w:val="single" w:sz="4" w:space="0" w:color="E76C0F"/>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01/03/24 - 12/03/24</w:t>
              <w:br/>
              <w:t>01/04/24 - 18/06/24</w:t>
              <w:br/>
              <w:t>01/08/24 - 19/09/24</w:t>
            </w:r>
          </w:p>
        </w:tc>
        <w:tc>
          <w:tcPr>
            <w:tcW w:w="1219" w:type="dxa"/>
            <w:vMerge w:val="restart"/>
            <w:tcBorders>
              <w:left w:val="single" w:sz="4" w:space="0" w:color="E76C0F"/>
              <w:bottom w:val="single" w:sz="4" w:space="0" w:color="E76C0F"/>
              <w:right w:val="single" w:sz="4" w:space="0" w:color="E76C0F"/>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191" w:type="dxa"/>
            <w:tcBorders>
              <w:bottom w:val="single" w:sz="4" w:space="0" w:color="E76C0F"/>
              <w:right w:val="single" w:sz="4" w:space="0" w:color="E76C0F"/>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2,166</w:t>
            </w:r>
          </w:p>
        </w:tc>
        <w:tc>
          <w:tcPr>
            <w:tcW w:w="1275" w:type="dxa"/>
            <w:tcBorders>
              <w:bottom w:val="single" w:sz="4" w:space="0" w:color="E76C0F"/>
              <w:right w:val="single" w:sz="4" w:space="0" w:color="E76C0F"/>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1,647</w:t>
            </w:r>
          </w:p>
        </w:tc>
        <w:tc>
          <w:tcPr>
            <w:tcW w:w="1276" w:type="dxa"/>
            <w:tcBorders>
              <w:bottom w:val="single" w:sz="4" w:space="0" w:color="E76C0F"/>
              <w:right w:val="single" w:sz="4" w:space="0" w:color="E76C0F"/>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1,286</w:t>
            </w:r>
          </w:p>
        </w:tc>
        <w:tc>
          <w:tcPr>
            <w:tcW w:w="1275" w:type="dxa"/>
            <w:tcBorders>
              <w:bottom w:val="single" w:sz="4" w:space="0" w:color="E76C0F"/>
              <w:right w:val="single" w:sz="4" w:space="0" w:color="E76C0F"/>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1,286</w:t>
            </w:r>
          </w:p>
        </w:tc>
        <w:tc>
          <w:tcPr>
            <w:tcW w:w="1276" w:type="dxa"/>
            <w:tcBorders>
              <w:bottom w:val="single" w:sz="4" w:space="0" w:color="E76C0F"/>
              <w:right w:val="single" w:sz="4" w:space="0" w:color="E76C0F"/>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2,416</w:t>
            </w:r>
          </w:p>
        </w:tc>
      </w:tr>
      <w:tr>
        <w:trPr>
          <w:trHeight w:val="340" w:hRule="atLeast"/>
        </w:trPr>
        <w:tc>
          <w:tcPr>
            <w:tcW w:w="1838" w:type="dxa"/>
            <w:tcBorders>
              <w:left w:val="single" w:sz="4" w:space="0" w:color="E76C0F"/>
              <w:bottom w:val="single" w:sz="4" w:space="0" w:color="E76C0F"/>
              <w:right w:val="single" w:sz="4" w:space="0" w:color="E76C0F"/>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01/10/24 - 10/12/24</w:t>
              <w:br/>
              <w:t xml:space="preserve">06/01/25 - 31/01/25 </w:t>
              <w:br/>
              <w:t>17/02/25 - 19/03/25</w:t>
            </w:r>
          </w:p>
        </w:tc>
        <w:tc>
          <w:tcPr>
            <w:tcW w:w="1219" w:type="dxa"/>
            <w:vMerge w:val="continue"/>
            <w:tcBorders>
              <w:left w:val="single" w:sz="4" w:space="0" w:color="E76C0F"/>
              <w:bottom w:val="single" w:sz="4" w:space="0" w:color="E76C0F"/>
              <w:right w:val="single" w:sz="4" w:space="0" w:color="E76C0F"/>
            </w:tcBorders>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91" w:type="dxa"/>
            <w:tcBorders>
              <w:bottom w:val="single" w:sz="4" w:space="0" w:color="E76C0F"/>
              <w:right w:val="single" w:sz="4" w:space="0" w:color="E76C0F"/>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2,305</w:t>
            </w:r>
          </w:p>
        </w:tc>
        <w:tc>
          <w:tcPr>
            <w:tcW w:w="1275" w:type="dxa"/>
            <w:tcBorders>
              <w:bottom w:val="single" w:sz="4" w:space="0" w:color="E76C0F"/>
              <w:right w:val="single" w:sz="4" w:space="0" w:color="E76C0F"/>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1,754</w:t>
            </w:r>
          </w:p>
        </w:tc>
        <w:tc>
          <w:tcPr>
            <w:tcW w:w="1276" w:type="dxa"/>
            <w:tcBorders>
              <w:bottom w:val="single" w:sz="4" w:space="0" w:color="E76C0F"/>
              <w:right w:val="single" w:sz="4" w:space="0" w:color="E76C0F"/>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1,375</w:t>
            </w:r>
          </w:p>
        </w:tc>
        <w:tc>
          <w:tcPr>
            <w:tcW w:w="1275" w:type="dxa"/>
            <w:tcBorders>
              <w:bottom w:val="single" w:sz="4" w:space="0" w:color="E76C0F"/>
              <w:right w:val="single" w:sz="4" w:space="0" w:color="E76C0F"/>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1,375</w:t>
            </w:r>
          </w:p>
        </w:tc>
        <w:tc>
          <w:tcPr>
            <w:tcW w:w="1276" w:type="dxa"/>
            <w:tcBorders>
              <w:bottom w:val="single" w:sz="4" w:space="0" w:color="E76C0F"/>
              <w:right w:val="single" w:sz="4" w:space="0" w:color="E76C0F"/>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2,576</w:t>
            </w:r>
          </w:p>
        </w:tc>
      </w:tr>
      <w:tr>
        <w:trPr>
          <w:trHeight w:val="340" w:hRule="atLeast"/>
        </w:trPr>
        <w:tc>
          <w:tcPr>
            <w:tcW w:w="1838" w:type="dxa"/>
            <w:tcBorders>
              <w:left w:val="single" w:sz="4" w:space="0" w:color="E76C0F"/>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01/03/24 - 12/03/24</w:t>
              <w:br/>
              <w:t>01/04/24 - 18/06/24</w:t>
              <w:br/>
              <w:t>01/08/24 - 19/09/24</w:t>
            </w:r>
          </w:p>
        </w:tc>
        <w:tc>
          <w:tcPr>
            <w:tcW w:w="1219" w:type="dxa"/>
            <w:vMerge w:val="restart"/>
            <w:tcBorders>
              <w:left w:val="single" w:sz="4" w:space="0" w:color="E76C0F"/>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Superior</w:t>
            </w:r>
          </w:p>
        </w:tc>
        <w:tc>
          <w:tcPr>
            <w:tcW w:w="1191" w:type="dxa"/>
            <w:tcBorders>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2,804</w:t>
            </w:r>
          </w:p>
        </w:tc>
        <w:tc>
          <w:tcPr>
            <w:tcW w:w="1275" w:type="dxa"/>
            <w:tcBorders>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1,672</w:t>
            </w:r>
          </w:p>
        </w:tc>
        <w:tc>
          <w:tcPr>
            <w:tcW w:w="1276" w:type="dxa"/>
            <w:tcBorders>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1,494</w:t>
            </w:r>
          </w:p>
        </w:tc>
        <w:tc>
          <w:tcPr>
            <w:tcW w:w="1275" w:type="dxa"/>
            <w:tcBorders>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1,494</w:t>
            </w:r>
          </w:p>
        </w:tc>
        <w:tc>
          <w:tcPr>
            <w:tcW w:w="1276" w:type="dxa"/>
            <w:tcBorders>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3,054</w:t>
            </w:r>
          </w:p>
        </w:tc>
      </w:tr>
      <w:tr>
        <w:trPr>
          <w:trHeight w:val="340" w:hRule="atLeast"/>
        </w:trPr>
        <w:tc>
          <w:tcPr>
            <w:tcW w:w="1838" w:type="dxa"/>
            <w:tcBorders>
              <w:left w:val="single" w:sz="4" w:space="0" w:color="E76C0F"/>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01/10/24 - 10/12/24</w:t>
              <w:br/>
              <w:t xml:space="preserve">06/01/25 - 31/01/25 </w:t>
              <w:br/>
              <w:t>17/02/25 - 19/03/25</w:t>
            </w:r>
          </w:p>
        </w:tc>
        <w:tc>
          <w:tcPr>
            <w:tcW w:w="1219" w:type="dxa"/>
            <w:vMerge w:val="continue"/>
            <w:tcBorders>
              <w:left w:val="single" w:sz="4" w:space="0" w:color="E76C0F"/>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91" w:type="dxa"/>
            <w:tcBorders>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2,994</w:t>
            </w:r>
          </w:p>
        </w:tc>
        <w:tc>
          <w:tcPr>
            <w:tcW w:w="1275" w:type="dxa"/>
            <w:tcBorders>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1,779</w:t>
            </w:r>
          </w:p>
        </w:tc>
        <w:tc>
          <w:tcPr>
            <w:tcW w:w="1276" w:type="dxa"/>
            <w:tcBorders>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1,587</w:t>
            </w:r>
          </w:p>
        </w:tc>
        <w:tc>
          <w:tcPr>
            <w:tcW w:w="1275" w:type="dxa"/>
            <w:tcBorders>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1,587</w:t>
            </w:r>
          </w:p>
        </w:tc>
        <w:tc>
          <w:tcPr>
            <w:tcW w:w="1276" w:type="dxa"/>
            <w:tcBorders>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3,265</w:t>
            </w:r>
          </w:p>
        </w:tc>
      </w:tr>
    </w:tbl>
    <w:p>
      <w:pPr>
        <w:pStyle w:val="Paragraph"/>
        <w:spacing w:beforeAutospacing="0" w:before="0" w:afterAutospacing="0" w:after="0"/>
        <w:jc w:val="both"/>
        <w:textAlignment w:val="baseline"/>
        <w:rPr>
          <w:rFonts w:ascii="Arial" w:hAnsi="Arial" w:cs="Arial"/>
          <w:b/>
          <w:b/>
          <w:bCs/>
          <w:i/>
          <w:i/>
          <w:iCs/>
          <w:sz w:val="18"/>
          <w:szCs w:val="18"/>
          <w:lang w:val="es-MX"/>
        </w:rPr>
      </w:pPr>
      <w:r>
        <w:rPr/>
      </w:r>
    </w:p>
    <w:p>
      <w:pPr>
        <w:pStyle w:val="Paragraph"/>
        <w:spacing w:beforeAutospacing="0" w:before="0" w:afterAutospacing="0" w:after="0"/>
        <w:jc w:val="both"/>
        <w:textAlignment w:val="baseline"/>
        <w:rPr>
          <w:rFonts w:ascii="Arial" w:hAnsi="Arial" w:cs="Arial"/>
          <w:b/>
          <w:b/>
          <w:bCs/>
          <w:i/>
          <w:i/>
          <w:iCs/>
          <w:sz w:val="18"/>
          <w:szCs w:val="18"/>
          <w:lang w:val="es-MX"/>
        </w:rPr>
      </w:pPr>
      <w:bookmarkStart w:id="0" w:name="_Hlk125620903"/>
      <w:r>
        <w:rPr>
          <w:rStyle w:val="Normaltextrun"/>
          <w:rFonts w:cs="Arial" w:ascii="Arial" w:hAnsi="Arial"/>
          <w:b/>
          <w:bCs/>
          <w:i/>
          <w:iCs/>
          <w:sz w:val="18"/>
          <w:szCs w:val="18"/>
        </w:rPr>
        <w:t>Nota:</w:t>
      </w:r>
      <w:r>
        <w:rPr>
          <w:rStyle w:val="Normaltextrun"/>
          <w:rFonts w:cs="Arial" w:ascii="Arial" w:hAnsi="Arial"/>
          <w:b/>
          <w:bCs/>
          <w:i/>
          <w:iCs/>
          <w:sz w:val="18"/>
          <w:szCs w:val="18"/>
          <w:lang w:val="es-MX"/>
        </w:rPr>
        <w:t xml:space="preserve"> Tarifas a reconfirmar en fechas o periodos especiales, (feriados, navidad, año nuevo, carnaval, semana santa, mes de julio). </w:t>
      </w:r>
      <w:r>
        <w:rPr>
          <w:rFonts w:cs="Arial" w:ascii="Arial" w:hAnsi="Arial"/>
          <w:b/>
          <w:bCs/>
          <w:i/>
          <w:iCs/>
          <w:sz w:val="18"/>
          <w:szCs w:val="18"/>
        </w:rPr>
        <w:t>Se permite 1 menor compartiendo habitación con 2 adultos en la misma habitación, con las camas disponibles.</w:t>
      </w:r>
      <w:bookmarkEnd w:id="0"/>
    </w:p>
    <w:p>
      <w:pPr>
        <w:pStyle w:val="Paragraph"/>
        <w:spacing w:beforeAutospacing="0" w:before="0" w:afterAutospacing="0" w:after="0"/>
        <w:jc w:val="both"/>
        <w:textAlignment w:val="baseline"/>
        <w:rPr>
          <w:rFonts w:ascii="Arial" w:hAnsi="Arial" w:cs="Arial"/>
          <w:b/>
          <w:b/>
          <w:bCs/>
          <w:i/>
          <w:i/>
          <w:iCs/>
          <w:sz w:val="18"/>
          <w:szCs w:val="18"/>
        </w:rPr>
      </w:pPr>
      <w:r>
        <w:rPr>
          <w:rFonts w:cs="Arial" w:ascii="Arial" w:hAnsi="Arial"/>
          <w:b/>
          <w:bCs/>
          <w:i/>
          <w:iCs/>
          <w:color w:val="FF0000"/>
          <w:sz w:val="18"/>
          <w:szCs w:val="18"/>
          <w:u w:val="single"/>
        </w:rPr>
        <w:t>*PVS:</w:t>
      </w:r>
      <w:r>
        <w:rPr>
          <w:rFonts w:cs="Arial" w:ascii="Arial" w:hAnsi="Arial"/>
          <w:b/>
          <w:bCs/>
          <w:i/>
          <w:iCs/>
          <w:color w:val="FF0000"/>
          <w:sz w:val="18"/>
          <w:szCs w:val="18"/>
        </w:rPr>
        <w:t xml:space="preserve"> </w:t>
      </w:r>
      <w:r>
        <w:rPr>
          <w:rFonts w:cs="Arial" w:ascii="Arial" w:hAnsi="Arial"/>
          <w:b/>
          <w:bCs/>
          <w:i/>
          <w:iCs/>
          <w:sz w:val="18"/>
          <w:szCs w:val="18"/>
        </w:rPr>
        <w:t>Tarifa Para Pasajero Viajando Solo, los servicios de tour y traslados continúan siendo en servicio compartido.</w:t>
      </w:r>
    </w:p>
    <w:p>
      <w:pPr>
        <w:pStyle w:val="Paragraph"/>
        <w:spacing w:beforeAutospacing="0" w:before="0" w:afterAutospacing="0" w:after="0"/>
        <w:jc w:val="both"/>
        <w:textAlignment w:val="baseline"/>
        <w:rPr>
          <w:rFonts w:ascii="Arial" w:hAnsi="Arial" w:cs="Arial"/>
          <w:b/>
          <w:b/>
          <w:bCs/>
          <w:i/>
          <w:i/>
          <w:iCs/>
          <w:sz w:val="18"/>
          <w:szCs w:val="18"/>
        </w:rPr>
      </w:pPr>
      <w:r>
        <w:rPr/>
      </w:r>
    </w:p>
    <w:p>
      <w:pPr>
        <w:pStyle w:val="Normal"/>
        <w:spacing w:lineRule="auto" w:line="240" w:before="0" w:after="0"/>
        <w:jc w:val="both"/>
        <w:rPr>
          <w:rFonts w:ascii="Arial" w:hAnsi="Arial" w:eastAsia="Times New Roman" w:cs="Arial"/>
          <w:b/>
          <w:b/>
          <w:color w:val="E36C0A" w:themeColor="accent6" w:themeShade="bf"/>
          <w:sz w:val="2"/>
          <w:szCs w:val="2"/>
          <w:u w:val="single"/>
          <w:lang w:val="es-ES_tradnl" w:eastAsia="es-ES"/>
        </w:rPr>
      </w:pPr>
      <w:r>
        <w:rPr>
          <w:rFonts w:eastAsia="Times New Roman" w:cs="Arial" w:ascii="Arial" w:hAnsi="Arial"/>
          <w:b/>
          <w:color w:val="E36C0A" w:themeColor="accent6" w:themeShade="bf"/>
          <w:sz w:val="2"/>
          <w:szCs w:val="2"/>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2"/>
          <w:szCs w:val="2"/>
          <w:u w:val="single"/>
          <w:lang w:val="es-ES_tradnl" w:eastAsia="es-ES"/>
        </w:rPr>
      </w:pPr>
      <w:r>
        <w:rPr>
          <w:rFonts w:eastAsia="Times New Roman" w:cs="Arial" w:ascii="Arial" w:hAnsi="Arial"/>
          <w:b/>
          <w:color w:val="E36C0A" w:themeColor="accent6" w:themeShade="bf"/>
          <w:sz w:val="2"/>
          <w:szCs w:val="2"/>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EL PRECIO INCLUYE:</w:t>
      </w:r>
    </w:p>
    <w:p>
      <w:pPr>
        <w:pStyle w:val="NoSpacing"/>
        <w:widowControl w:val="false"/>
        <w:numPr>
          <w:ilvl w:val="0"/>
          <w:numId w:val="4"/>
        </w:numPr>
        <w:jc w:val="both"/>
        <w:textAlignment w:val="baseline"/>
        <w:rPr>
          <w:rFonts w:ascii="Arial" w:hAnsi="Arial" w:cs="Arial"/>
          <w:b/>
          <w:b/>
          <w:i/>
          <w:i/>
          <w:sz w:val="18"/>
          <w:szCs w:val="18"/>
          <w:lang w:val="es-ES_tradnl" w:eastAsia="es-ES"/>
        </w:rPr>
      </w:pPr>
      <w:r>
        <w:rPr>
          <w:rFonts w:cs="Arial" w:ascii="Arial" w:hAnsi="Arial"/>
          <w:sz w:val="18"/>
          <w:szCs w:val="18"/>
          <w:lang w:val="es-ES_tradnl" w:eastAsia="es-ES"/>
        </w:rPr>
        <w:t xml:space="preserve">Traslados aeropuerto – hotel – aeropuerto </w:t>
      </w:r>
      <w:r>
        <w:rPr>
          <w:rFonts w:cs="Arial" w:ascii="Arial" w:hAnsi="Arial"/>
          <w:b/>
          <w:i/>
          <w:sz w:val="18"/>
          <w:szCs w:val="18"/>
          <w:lang w:val="es-ES_tradnl" w:eastAsia="es-ES"/>
        </w:rPr>
        <w:t>en servicio regular en horario diurno</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04 noches de alojamiento en Buenos Aires</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02 noches de alojamiento en El Calafate</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02 noches de alojamiento en Ushuaia</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 xml:space="preserve">08 desayunos </w:t>
      </w:r>
      <w:r>
        <w:rPr>
          <w:rFonts w:cs="Arial" w:ascii="Arial" w:hAnsi="Arial"/>
          <w:sz w:val="18"/>
          <w:szCs w:val="18"/>
        </w:rPr>
        <w:t>(servido dentro del horario estipulado por el hotel)</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Excursión a Glaciar Perito Moreno con ingreso al Parque Nacional en servicio regular</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Excursión a Parque Nacional Tierra de Fuego con ingreso en servicio regular</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Visita de ciudad en Buenos Aires en servicio regular</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Guía en habla hispana</w:t>
      </w:r>
    </w:p>
    <w:p>
      <w:pPr>
        <w:pStyle w:val="NoSpacing"/>
        <w:widowControl w:val="false"/>
        <w:numPr>
          <w:ilvl w:val="0"/>
          <w:numId w:val="5"/>
        </w:numPr>
        <w:jc w:val="both"/>
        <w:textAlignment w:val="baseline"/>
        <w:rPr>
          <w:rFonts w:ascii="Arial" w:hAnsi="Arial" w:cs="Arial"/>
          <w:b/>
          <w:b/>
          <w:i/>
          <w:i/>
          <w:color w:val="000000"/>
          <w:sz w:val="18"/>
          <w:szCs w:val="18"/>
          <w:lang w:val="es-ES_tradnl" w:eastAsia="es-ES"/>
        </w:rPr>
      </w:pPr>
      <w:r>
        <w:rPr>
          <w:rFonts w:cs="Arial" w:ascii="Arial" w:hAnsi="Arial"/>
          <w:b/>
          <w:i/>
          <w:color w:val="000000"/>
          <w:sz w:val="18"/>
          <w:szCs w:val="18"/>
          <w:lang w:val="es-ES_tradnl" w:eastAsia="es-ES"/>
        </w:rPr>
        <w:t>Seguro de viaje con cobertura COVID</w:t>
      </w:r>
    </w:p>
    <w:p>
      <w:pPr>
        <w:pStyle w:val="NoSpacing"/>
        <w:widowControl w:val="false"/>
        <w:numPr>
          <w:ilvl w:val="0"/>
          <w:numId w:val="5"/>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Asistencia 24hrs</w:t>
      </w:r>
    </w:p>
    <w:p>
      <w:pPr>
        <w:pStyle w:val="Normal"/>
        <w:spacing w:lineRule="auto" w:line="240" w:before="0" w:after="0"/>
        <w:jc w:val="both"/>
        <w:rPr>
          <w:rFonts w:ascii="Arial" w:hAnsi="Arial" w:eastAsia="Times New Roman" w:cs="Arial"/>
          <w:b/>
          <w:b/>
          <w:color w:val="E36C0A" w:themeColor="accent6" w:themeShade="bf"/>
          <w:sz w:val="10"/>
          <w:szCs w:val="10"/>
          <w:u w:val="single"/>
          <w:lang w:val="es-ES_tradnl" w:eastAsia="es-ES"/>
        </w:rPr>
      </w:pPr>
      <w:r>
        <w:rPr>
          <w:rFonts w:eastAsia="Times New Roman" w:cs="Arial" w:ascii="Arial" w:hAnsi="Arial"/>
          <w:b/>
          <w:color w:val="E36C0A" w:themeColor="accent6" w:themeShade="bf"/>
          <w:sz w:val="10"/>
          <w:szCs w:val="10"/>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EL PRECIO NO INCLUYE:</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Boletos de avión Buenos Ares – Calafate – Ushuaia – Buenos Aires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Gastos personales y propinas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Alimentos no mencionados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Ningún servicio no especificado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Impuestos de Alojamiento (pago directo en destino)</w:t>
      </w:r>
    </w:p>
    <w:p>
      <w:pPr>
        <w:pStyle w:val="NoSpacing"/>
        <w:widowControl w:val="false"/>
        <w:jc w:val="both"/>
        <w:textAlignment w:val="baseline"/>
        <w:rPr>
          <w:rFonts w:ascii="Arial" w:hAnsi="Arial" w:cs="Arial"/>
          <w:sz w:val="18"/>
          <w:szCs w:val="18"/>
          <w:lang w:val="es-ES_tradnl" w:eastAsia="es-ES"/>
        </w:rPr>
      </w:pPr>
      <w:r>
        <w:rPr>
          <w:rFonts w:cs="Arial" w:ascii="Arial" w:hAnsi="Arial"/>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SUPLEMENTOS </w:t>
      </w:r>
      <w:r>
        <w:rPr>
          <w:rFonts w:cs="Arial" w:ascii="Arial" w:hAnsi="Arial"/>
          <w:b/>
          <w:color w:val="E36C0A" w:themeColor="accent6" w:themeShade="bf"/>
          <w:sz w:val="18"/>
          <w:szCs w:val="18"/>
          <w:u w:val="single"/>
        </w:rPr>
        <w:t>/ SERVICIOS ADICIONALES PRECIO POR PERSONA EN USD</w:t>
      </w:r>
      <w:r>
        <w:rPr>
          <w:rFonts w:eastAsia="Times New Roman" w:cs="Arial" w:ascii="Arial" w:hAnsi="Arial"/>
          <w:b/>
          <w:color w:val="E36C0A" w:themeColor="accent6" w:themeShade="bf"/>
          <w:sz w:val="18"/>
          <w:szCs w:val="18"/>
          <w:u w:val="single"/>
          <w:lang w:val="es-ES_tradnl" w:eastAsia="es-ES"/>
        </w:rPr>
        <w:t>:</w:t>
      </w:r>
    </w:p>
    <w:p>
      <w:pPr>
        <w:pStyle w:val="Normal"/>
        <w:spacing w:lineRule="auto" w:line="240" w:before="0" w:after="0"/>
        <w:jc w:val="both"/>
        <w:rPr>
          <w:rFonts w:ascii="Arial" w:hAnsi="Arial" w:eastAsia="Times New Roman" w:cs="Arial"/>
          <w:b/>
          <w:b/>
          <w:color w:val="E36C0A" w:themeColor="accent6" w:themeShade="bf"/>
          <w:sz w:val="14"/>
          <w:szCs w:val="14"/>
          <w:u w:val="single"/>
          <w:lang w:val="es-ES_tradnl" w:eastAsia="es-ES"/>
        </w:rPr>
      </w:pPr>
      <w:r>
        <w:rPr>
          <w:rFonts w:eastAsia="Times New Roman" w:cs="Arial" w:ascii="Arial" w:hAnsi="Arial"/>
          <w:b/>
          <w:color w:val="E36C0A" w:themeColor="accent6" w:themeShade="bf"/>
          <w:sz w:val="14"/>
          <w:szCs w:val="14"/>
          <w:u w:val="single"/>
          <w:lang w:val="es-ES_tradnl" w:eastAsia="es-ES"/>
        </w:rPr>
      </w:r>
    </w:p>
    <w:tbl>
      <w:tblPr>
        <w:tblStyle w:val="Tablaconcuadrcula"/>
        <w:tblW w:w="680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695"/>
        <w:gridCol w:w="1286"/>
        <w:gridCol w:w="1276"/>
        <w:gridCol w:w="1275"/>
        <w:gridCol w:w="1276"/>
      </w:tblGrid>
      <w:tr>
        <w:trPr>
          <w:trHeight w:val="340" w:hRule="atLeast"/>
        </w:trPr>
        <w:tc>
          <w:tcPr>
            <w:tcW w:w="6808" w:type="dxa"/>
            <w:gridSpan w:val="5"/>
            <w:tcBorders>
              <w:top w:val="single" w:sz="4" w:space="0" w:color="C00000"/>
              <w:left w:val="single" w:sz="4" w:space="0" w:color="C00000"/>
              <w:bottom w:val="single" w:sz="4" w:space="0" w:color="E36C0A"/>
              <w:right w:val="single" w:sz="4" w:space="0" w:color="C00000"/>
            </w:tcBorders>
            <w:shd w:color="auto" w:fill="C00000" w:val="clear"/>
            <w:vAlign w:val="center"/>
          </w:tcPr>
          <w:p>
            <w:pPr>
              <w:pStyle w:val="Normal"/>
              <w:widowControl/>
              <w:spacing w:lineRule="auto" w:line="240" w:before="0" w:after="0"/>
              <w:jc w:val="left"/>
              <w:rPr>
                <w:rFonts w:ascii="Arial" w:hAnsi="Arial" w:cs="Arial"/>
                <w:b/>
                <w:b/>
                <w:bCs/>
                <w:sz w:val="18"/>
                <w:szCs w:val="18"/>
              </w:rPr>
            </w:pPr>
            <w:r>
              <w:rPr>
                <w:rFonts w:eastAsia="Calibri" w:cs="Arial" w:ascii="Arial" w:hAnsi="Arial"/>
                <w:b/>
                <w:bCs/>
                <w:color w:val="FFFFFF" w:themeColor="background1"/>
                <w:kern w:val="0"/>
                <w:sz w:val="18"/>
                <w:szCs w:val="18"/>
                <w:lang w:eastAsia="en-US" w:bidi="ar-SA"/>
              </w:rPr>
              <w:t>Traslados nocturnos después de las 22:00hrs y antes de las 07:00hrs – One way (un solo trayecto)</w:t>
            </w:r>
          </w:p>
        </w:tc>
      </w:tr>
      <w:tr>
        <w:trPr>
          <w:trHeight w:val="340" w:hRule="atLeast"/>
        </w:trPr>
        <w:tc>
          <w:tcPr>
            <w:tcW w:w="1695"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spacing w:lineRule="auto" w:line="240" w:before="0" w:after="0"/>
              <w:jc w:val="center"/>
              <w:rPr>
                <w:rFonts w:ascii="Arial" w:hAnsi="Arial" w:eastAsia="Times New Roman" w:cs="Arial"/>
                <w:b/>
                <w:b/>
                <w:bCs/>
                <w:color w:val="E36C0A" w:themeColor="accent6" w:themeShade="bf"/>
                <w:sz w:val="18"/>
                <w:szCs w:val="18"/>
                <w:lang w:val="es-ES_tradnl" w:eastAsia="es-ES"/>
              </w:rPr>
            </w:pPr>
            <w:r>
              <w:rPr>
                <w:rFonts w:eastAsia="Times New Roman" w:cs="Arial" w:ascii="Arial" w:hAnsi="Arial"/>
                <w:b/>
                <w:bCs/>
                <w:color w:val="000000" w:themeColor="text1"/>
                <w:kern w:val="0"/>
                <w:sz w:val="18"/>
                <w:szCs w:val="18"/>
                <w:lang w:eastAsia="es-ES" w:bidi="ar-SA"/>
              </w:rPr>
              <w:t>Ciudad</w:t>
            </w:r>
          </w:p>
        </w:tc>
        <w:tc>
          <w:tcPr>
            <w:tcW w:w="1286"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spacing w:lineRule="auto" w:line="240" w:before="0" w:after="0"/>
              <w:jc w:val="center"/>
              <w:rPr>
                <w:rFonts w:ascii="Arial" w:hAnsi="Arial" w:eastAsia="Times New Roman" w:cs="Arial"/>
                <w:b/>
                <w:b/>
                <w:bCs/>
                <w:color w:val="000000" w:themeColor="text1"/>
                <w:sz w:val="18"/>
                <w:szCs w:val="18"/>
                <w:lang w:val="es-ES" w:eastAsia="es-ES"/>
              </w:rPr>
            </w:pPr>
            <w:r>
              <w:rPr>
                <w:rFonts w:eastAsia="Times New Roman" w:cs="Arial" w:ascii="Arial" w:hAnsi="Arial"/>
                <w:b/>
                <w:bCs/>
                <w:color w:val="000000" w:themeColor="text1" w:themeShade="ff" w:themeTint="ff"/>
                <w:kern w:val="0"/>
                <w:sz w:val="18"/>
                <w:szCs w:val="18"/>
                <w:lang w:val="es-ES" w:eastAsia="es-ES" w:bidi="ar-SA"/>
              </w:rPr>
              <w:t>1 Pasajero</w:t>
            </w:r>
          </w:p>
        </w:tc>
        <w:tc>
          <w:tcPr>
            <w:tcW w:w="1276"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spacing w:lineRule="auto" w:line="240" w:before="0" w:after="0"/>
              <w:jc w:val="center"/>
              <w:rPr>
                <w:rFonts w:ascii="Arial" w:hAnsi="Arial" w:eastAsia="Times New Roman" w:cs="Arial"/>
                <w:b/>
                <w:b/>
                <w:bCs/>
                <w:color w:val="000000" w:themeColor="text1"/>
                <w:sz w:val="18"/>
                <w:szCs w:val="18"/>
                <w:lang w:val="es-ES" w:eastAsia="es-ES"/>
              </w:rPr>
            </w:pPr>
            <w:r>
              <w:rPr>
                <w:rFonts w:eastAsia="Times New Roman" w:cs="Arial" w:ascii="Arial" w:hAnsi="Arial"/>
                <w:b/>
                <w:bCs/>
                <w:color w:val="000000" w:themeColor="text1" w:themeShade="ff" w:themeTint="ff"/>
                <w:kern w:val="0"/>
                <w:sz w:val="18"/>
                <w:szCs w:val="18"/>
                <w:lang w:val="es-ES" w:eastAsia="es-ES" w:bidi="ar-SA"/>
              </w:rPr>
              <w:t>2 Pasajeros</w:t>
            </w:r>
          </w:p>
        </w:tc>
        <w:tc>
          <w:tcPr>
            <w:tcW w:w="1275"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spacing w:lineRule="auto" w:line="240" w:before="0" w:after="0"/>
              <w:jc w:val="center"/>
              <w:rPr>
                <w:rFonts w:ascii="Arial" w:hAnsi="Arial" w:eastAsia="Times New Roman" w:cs="Arial"/>
                <w:b/>
                <w:b/>
                <w:bCs/>
                <w:color w:val="000000" w:themeColor="text1"/>
                <w:sz w:val="18"/>
                <w:szCs w:val="18"/>
                <w:lang w:val="es-ES" w:eastAsia="es-ES"/>
              </w:rPr>
            </w:pPr>
            <w:r>
              <w:rPr>
                <w:rFonts w:eastAsia="Times New Roman" w:cs="Arial" w:ascii="Arial" w:hAnsi="Arial"/>
                <w:b/>
                <w:bCs/>
                <w:color w:val="000000" w:themeColor="text1" w:themeShade="ff" w:themeTint="ff"/>
                <w:kern w:val="0"/>
                <w:sz w:val="18"/>
                <w:szCs w:val="18"/>
                <w:lang w:val="es-ES" w:eastAsia="es-ES" w:bidi="ar-SA"/>
              </w:rPr>
              <w:t>3 Pasajeros</w:t>
            </w:r>
          </w:p>
        </w:tc>
        <w:tc>
          <w:tcPr>
            <w:tcW w:w="1276"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spacing w:lineRule="auto" w:line="240" w:before="0" w:after="0"/>
              <w:jc w:val="center"/>
              <w:rPr>
                <w:rFonts w:ascii="Arial" w:hAnsi="Arial" w:eastAsia="Times New Roman" w:cs="Arial"/>
                <w:b/>
                <w:b/>
                <w:bCs/>
                <w:color w:val="000000" w:themeColor="text1"/>
                <w:sz w:val="18"/>
                <w:szCs w:val="18"/>
                <w:lang w:val="es-ES" w:eastAsia="es-ES"/>
              </w:rPr>
            </w:pPr>
            <w:r>
              <w:rPr>
                <w:rFonts w:eastAsia="Times New Roman" w:cs="Arial" w:ascii="Arial" w:hAnsi="Arial"/>
                <w:b/>
                <w:bCs/>
                <w:color w:val="000000" w:themeColor="text1" w:themeShade="ff" w:themeTint="ff"/>
                <w:kern w:val="0"/>
                <w:sz w:val="18"/>
                <w:szCs w:val="18"/>
                <w:lang w:val="es-ES" w:eastAsia="es-ES" w:bidi="ar-SA"/>
              </w:rPr>
              <w:t>4 Pasajeros</w:t>
            </w:r>
          </w:p>
        </w:tc>
      </w:tr>
      <w:tr>
        <w:trPr>
          <w:trHeight w:val="340" w:hRule="atLeast"/>
        </w:trPr>
        <w:tc>
          <w:tcPr>
            <w:tcW w:w="1695" w:type="dxa"/>
            <w:tcBorders>
              <w:top w:val="single" w:sz="4" w:space="0" w:color="C00000"/>
              <w:left w:val="single" w:sz="4" w:space="0" w:color="C00000"/>
              <w:bottom w:val="single" w:sz="4" w:space="0" w:color="C00000"/>
              <w:right w:val="single" w:sz="4" w:space="0" w:color="C00000"/>
            </w:tcBorders>
            <w:vAlign w:val="center"/>
          </w:tcPr>
          <w:p>
            <w:pPr>
              <w:pStyle w:val="Normal"/>
              <w:widowControl/>
              <w:spacing w:lineRule="auto" w:line="240" w:before="0" w:after="0"/>
              <w:jc w:val="left"/>
              <w:rPr>
                <w:rFonts w:ascii="Arial" w:hAnsi="Arial" w:eastAsia="Times New Roman" w:cs="Arial"/>
                <w:b/>
                <w:b/>
                <w:color w:val="000000" w:themeColor="text1"/>
                <w:sz w:val="18"/>
                <w:szCs w:val="18"/>
                <w:lang w:val="es-ES_tradnl" w:eastAsia="es-ES"/>
              </w:rPr>
            </w:pPr>
            <w:r>
              <w:rPr>
                <w:rFonts w:eastAsia="Times New Roman" w:cs="Arial" w:ascii="Arial" w:hAnsi="Arial"/>
                <w:b/>
                <w:color w:val="000000" w:themeColor="text1"/>
                <w:kern w:val="0"/>
                <w:sz w:val="18"/>
                <w:szCs w:val="18"/>
                <w:lang w:val="es-ES_tradnl" w:eastAsia="es-ES" w:bidi="ar-SA"/>
              </w:rPr>
              <w:t>Ushuaia</w:t>
            </w:r>
          </w:p>
        </w:tc>
        <w:tc>
          <w:tcPr>
            <w:tcW w:w="1286" w:type="dxa"/>
            <w:tcBorders>
              <w:top w:val="single" w:sz="4" w:space="0" w:color="C00000"/>
              <w:left w:val="single" w:sz="4" w:space="0" w:color="C00000"/>
              <w:bottom w:val="single" w:sz="4" w:space="0" w:color="C00000"/>
              <w:right w:val="single" w:sz="4" w:space="0" w:color="C00000"/>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USD 19</w:t>
            </w:r>
          </w:p>
        </w:tc>
        <w:tc>
          <w:tcPr>
            <w:tcW w:w="1276" w:type="dxa"/>
            <w:tcBorders>
              <w:top w:val="single" w:sz="4" w:space="0" w:color="C00000"/>
              <w:left w:val="single" w:sz="4" w:space="0" w:color="C00000"/>
              <w:bottom w:val="single" w:sz="4" w:space="0" w:color="C00000"/>
              <w:right w:val="single" w:sz="4" w:space="0" w:color="C00000"/>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USD 10</w:t>
            </w:r>
          </w:p>
        </w:tc>
        <w:tc>
          <w:tcPr>
            <w:tcW w:w="1275" w:type="dxa"/>
            <w:tcBorders>
              <w:top w:val="single" w:sz="4" w:space="0" w:color="C00000"/>
              <w:left w:val="single" w:sz="4" w:space="0" w:color="C00000"/>
              <w:bottom w:val="single" w:sz="4" w:space="0" w:color="C00000"/>
              <w:right w:val="single" w:sz="4" w:space="0" w:color="C00000"/>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USD 33</w:t>
            </w:r>
          </w:p>
        </w:tc>
        <w:tc>
          <w:tcPr>
            <w:tcW w:w="1276" w:type="dxa"/>
            <w:tcBorders>
              <w:top w:val="single" w:sz="4" w:space="0" w:color="C00000"/>
              <w:left w:val="single" w:sz="4" w:space="0" w:color="C00000"/>
              <w:bottom w:val="single" w:sz="4" w:space="0" w:color="C00000"/>
              <w:right w:val="single" w:sz="4" w:space="0" w:color="C00000"/>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USD 22</w:t>
            </w:r>
          </w:p>
        </w:tc>
      </w:tr>
    </w:tbl>
    <w:p>
      <w:pPr>
        <w:pStyle w:val="Normal"/>
        <w:spacing w:lineRule="auto" w:line="240" w:before="0" w:after="0"/>
        <w:jc w:val="both"/>
        <w:rPr>
          <w:rFonts w:ascii="Arial" w:hAnsi="Arial" w:eastAsia="Times New Roman" w:cs="Arial"/>
          <w:b/>
          <w:b/>
          <w:color w:val="E36C0A" w:themeColor="accent6" w:themeShade="bf"/>
          <w:sz w:val="14"/>
          <w:szCs w:val="14"/>
          <w:u w:val="single"/>
          <w:lang w:val="es-ES_tradnl" w:eastAsia="es-ES"/>
        </w:rPr>
      </w:pPr>
      <w:r>
        <w:rPr>
          <w:rFonts w:eastAsia="Times New Roman" w:cs="Arial" w:ascii="Arial" w:hAnsi="Arial"/>
          <w:b/>
          <w:color w:val="E36C0A" w:themeColor="accent6" w:themeShade="bf"/>
          <w:sz w:val="14"/>
          <w:szCs w:val="14"/>
          <w:u w:val="single"/>
          <w:lang w:val="es-ES_tradnl" w:eastAsia="es-ES"/>
        </w:rPr>
      </w:r>
    </w:p>
    <w:p>
      <w:pPr>
        <w:pStyle w:val="Normal"/>
        <w:spacing w:lineRule="auto" w:line="240" w:before="0" w:after="0"/>
        <w:jc w:val="both"/>
        <w:rPr>
          <w:rFonts w:ascii="Arial" w:hAnsi="Arial" w:cs="Arial"/>
          <w:b/>
          <w:b/>
          <w:bCs/>
          <w:i/>
          <w:i/>
          <w:iCs/>
          <w:color w:val="000000" w:themeColor="text1"/>
          <w:sz w:val="18"/>
          <w:szCs w:val="18"/>
          <w:shd w:fill="FFFFFF" w:val="clear"/>
        </w:rPr>
      </w:pPr>
      <w:r>
        <w:rPr>
          <w:rFonts w:cs="Arial" w:ascii="Arial" w:hAnsi="Arial"/>
          <w:b/>
          <w:bCs/>
          <w:i/>
          <w:iCs/>
          <w:color w:val="000000"/>
          <w:sz w:val="18"/>
          <w:szCs w:val="18"/>
          <w:shd w:fill="FFFFFF" w:val="clear"/>
        </w:rPr>
        <w:t xml:space="preserve">Nota: El servicio de traslado nocturno de llegada o salida se brinda en privado con chofer en español. </w:t>
      </w:r>
      <w:r>
        <w:rPr>
          <w:rFonts w:cs="Arial" w:ascii="Arial" w:hAnsi="Arial"/>
          <w:b/>
          <w:bCs/>
          <w:i/>
          <w:iCs/>
          <w:color w:val="000000" w:themeColor="text1"/>
          <w:sz w:val="18"/>
          <w:szCs w:val="18"/>
          <w:shd w:fill="FFFFFF" w:val="clear"/>
        </w:rPr>
        <w:t>En Buenos Aires y El Calafate no hay suplemento por servicios nocturnos.</w:t>
      </w:r>
    </w:p>
    <w:p>
      <w:pPr>
        <w:pStyle w:val="Normal"/>
        <w:spacing w:lineRule="auto" w:line="240" w:before="0" w:after="0"/>
        <w:jc w:val="both"/>
        <w:rPr>
          <w:rFonts w:ascii="Arial" w:hAnsi="Arial" w:cs="Arial"/>
          <w:b/>
          <w:b/>
          <w:bCs/>
          <w:i/>
          <w:i/>
          <w:iCs/>
          <w:color w:val="000000" w:themeColor="text1"/>
          <w:sz w:val="18"/>
          <w:szCs w:val="18"/>
          <w:shd w:fill="FFFFFF" w:val="clear"/>
        </w:rPr>
      </w:pPr>
      <w:r>
        <w:rPr>
          <w:rFonts w:cs="Arial" w:ascii="Arial" w:hAnsi="Arial"/>
          <w:b/>
          <w:bCs/>
          <w:i/>
          <w:iCs/>
          <w:color w:val="000000" w:themeColor="text1"/>
          <w:sz w:val="18"/>
          <w:szCs w:val="18"/>
          <w:shd w:fill="FFFFFF" w:val="clear"/>
        </w:rPr>
      </w:r>
    </w:p>
    <w:tbl>
      <w:tblPr>
        <w:tblW w:w="8642"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3652"/>
        <w:gridCol w:w="1163"/>
        <w:gridCol w:w="1275"/>
        <w:gridCol w:w="1275"/>
        <w:gridCol w:w="1277"/>
      </w:tblGrid>
      <w:tr>
        <w:trPr>
          <w:trHeight w:val="397" w:hRule="atLeast"/>
        </w:trPr>
        <w:tc>
          <w:tcPr>
            <w:tcW w:w="3652" w:type="dxa"/>
            <w:vMerge w:val="restart"/>
            <w:tcBorders>
              <w:top w:val="single" w:sz="4" w:space="0" w:color="C00000"/>
              <w:left w:val="single" w:sz="4" w:space="0" w:color="C00000"/>
              <w:bottom w:val="single" w:sz="4" w:space="0" w:color="C00000"/>
              <w:right w:val="single" w:sz="4" w:space="0" w:color="C00000"/>
            </w:tcBorders>
            <w:shd w:color="auto" w:fill="C00000" w:val="clear"/>
            <w:vAlign w:val="center"/>
          </w:tcPr>
          <w:p>
            <w:pPr>
              <w:pStyle w:val="Normal"/>
              <w:widowControl w:val="false"/>
              <w:spacing w:lineRule="auto" w:line="240" w:before="0" w:after="0"/>
              <w:rPr>
                <w:rFonts w:ascii="Arial" w:hAnsi="Arial" w:eastAsia="Times New Roman" w:cs="Arial"/>
                <w:b/>
                <w:b/>
                <w:bCs/>
                <w:color w:val="FFFFFF" w:themeColor="background1"/>
                <w:sz w:val="18"/>
                <w:szCs w:val="18"/>
                <w:lang w:eastAsia="es-ES"/>
              </w:rPr>
            </w:pPr>
            <w:r>
              <w:rPr>
                <w:rFonts w:eastAsia="Times New Roman" w:cs="Arial" w:ascii="Arial" w:hAnsi="Arial"/>
                <w:b/>
                <w:bCs/>
                <w:color w:val="FFFFFF" w:themeColor="background1"/>
                <w:sz w:val="18"/>
                <w:szCs w:val="18"/>
                <w:lang w:eastAsia="es-ES"/>
              </w:rPr>
              <w:t>Traslado arribo/salida desde o hacia EZE (aeropuerto internacional) en vuelos domésticos – One way</w:t>
            </w:r>
          </w:p>
        </w:tc>
        <w:tc>
          <w:tcPr>
            <w:tcW w:w="1163"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val="false"/>
              <w:spacing w:lineRule="auto" w:line="240" w:before="0" w:after="0"/>
              <w:jc w:val="center"/>
              <w:rPr>
                <w:rFonts w:ascii="Arial" w:hAnsi="Arial" w:eastAsia="Times New Roman" w:cs="Arial"/>
                <w:b/>
                <w:b/>
                <w:bCs/>
                <w:color w:val="000000" w:themeColor="text1"/>
                <w:sz w:val="18"/>
                <w:szCs w:val="18"/>
                <w:lang w:eastAsia="es-ES"/>
              </w:rPr>
            </w:pPr>
            <w:r>
              <w:rPr>
                <w:rFonts w:eastAsia="Times New Roman" w:cs="Arial" w:ascii="Arial" w:hAnsi="Arial"/>
                <w:b/>
                <w:color w:val="000000" w:themeColor="text1"/>
                <w:sz w:val="18"/>
                <w:szCs w:val="18"/>
                <w:lang w:val="es-ES_tradnl" w:eastAsia="es-ES"/>
              </w:rPr>
              <w:t>1 Pasajero</w:t>
            </w:r>
          </w:p>
        </w:tc>
        <w:tc>
          <w:tcPr>
            <w:tcW w:w="1275"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val="false"/>
              <w:spacing w:lineRule="auto" w:line="240" w:before="0" w:after="0"/>
              <w:jc w:val="center"/>
              <w:rPr>
                <w:rFonts w:ascii="Arial" w:hAnsi="Arial" w:eastAsia="Times New Roman" w:cs="Arial"/>
                <w:b/>
                <w:b/>
                <w:bCs/>
                <w:color w:val="000000" w:themeColor="text1"/>
                <w:sz w:val="18"/>
                <w:szCs w:val="18"/>
                <w:lang w:eastAsia="es-ES"/>
              </w:rPr>
            </w:pPr>
            <w:r>
              <w:rPr>
                <w:rFonts w:eastAsia="Times New Roman" w:cs="Arial" w:ascii="Arial" w:hAnsi="Arial"/>
                <w:b/>
                <w:color w:val="000000" w:themeColor="text1"/>
                <w:sz w:val="18"/>
                <w:szCs w:val="18"/>
                <w:lang w:val="es-ES_tradnl" w:eastAsia="es-ES"/>
              </w:rPr>
              <w:t>2 Pasajeros</w:t>
            </w:r>
          </w:p>
        </w:tc>
        <w:tc>
          <w:tcPr>
            <w:tcW w:w="1275"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val="false"/>
              <w:spacing w:lineRule="auto" w:line="240" w:before="0" w:after="0"/>
              <w:jc w:val="center"/>
              <w:rPr>
                <w:rFonts w:ascii="Arial" w:hAnsi="Arial" w:eastAsia="Times New Roman" w:cs="Arial"/>
                <w:b/>
                <w:b/>
                <w:bCs/>
                <w:color w:val="000000" w:themeColor="text1"/>
                <w:sz w:val="18"/>
                <w:szCs w:val="18"/>
                <w:lang w:eastAsia="es-ES"/>
              </w:rPr>
            </w:pPr>
            <w:r>
              <w:rPr>
                <w:rFonts w:eastAsia="Times New Roman" w:cs="Arial" w:ascii="Arial" w:hAnsi="Arial"/>
                <w:b/>
                <w:color w:val="000000" w:themeColor="text1"/>
                <w:sz w:val="18"/>
                <w:szCs w:val="18"/>
                <w:lang w:val="es-ES_tradnl" w:eastAsia="es-ES"/>
              </w:rPr>
              <w:t>3 Pasajeros</w:t>
            </w:r>
          </w:p>
        </w:tc>
        <w:tc>
          <w:tcPr>
            <w:tcW w:w="1277"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val="false"/>
              <w:spacing w:lineRule="auto" w:line="240" w:before="0" w:after="0"/>
              <w:jc w:val="center"/>
              <w:rPr>
                <w:rFonts w:ascii="Arial" w:hAnsi="Arial" w:eastAsia="Times New Roman" w:cs="Arial"/>
                <w:b/>
                <w:b/>
                <w:bCs/>
                <w:color w:val="000000" w:themeColor="text1"/>
                <w:sz w:val="18"/>
                <w:szCs w:val="18"/>
                <w:lang w:eastAsia="es-ES"/>
              </w:rPr>
            </w:pPr>
            <w:r>
              <w:rPr>
                <w:rFonts w:eastAsia="Times New Roman" w:cs="Arial" w:ascii="Arial" w:hAnsi="Arial"/>
                <w:b/>
                <w:color w:val="000000" w:themeColor="text1"/>
                <w:sz w:val="18"/>
                <w:szCs w:val="18"/>
                <w:lang w:val="es-ES_tradnl" w:eastAsia="es-ES"/>
              </w:rPr>
              <w:t>4 Pasajeros</w:t>
            </w:r>
          </w:p>
        </w:tc>
      </w:tr>
      <w:tr>
        <w:trPr>
          <w:trHeight w:val="397" w:hRule="atLeast"/>
        </w:trPr>
        <w:tc>
          <w:tcPr>
            <w:tcW w:w="3652" w:type="dxa"/>
            <w:vMerge w:val="continue"/>
            <w:tcBorders>
              <w:left w:val="single" w:sz="4" w:space="0" w:color="C00000"/>
              <w:bottom w:val="single" w:sz="4" w:space="0" w:color="C00000"/>
              <w:right w:val="single" w:sz="4" w:space="0" w:color="C00000"/>
            </w:tcBorders>
            <w:shd w:color="auto" w:fill="C00000" w:val="clear"/>
            <w:vAlign w:val="bottom"/>
          </w:tcPr>
          <w:p>
            <w:pPr>
              <w:pStyle w:val="Normal"/>
              <w:widowControl w:val="false"/>
              <w:spacing w:lineRule="auto" w:line="240" w:before="0" w:after="0"/>
              <w:rPr>
                <w:rFonts w:ascii="Arial" w:hAnsi="Arial" w:eastAsia="Times New Roman" w:cs="Arial"/>
                <w:b/>
                <w:b/>
                <w:bCs/>
                <w:sz w:val="18"/>
                <w:szCs w:val="18"/>
                <w:lang w:eastAsia="es-ES"/>
              </w:rPr>
            </w:pPr>
            <w:r>
              <w:rPr>
                <w:rFonts w:eastAsia="Times New Roman" w:cs="Arial" w:ascii="Arial" w:hAnsi="Arial"/>
                <w:b/>
                <w:bCs/>
                <w:sz w:val="18"/>
                <w:szCs w:val="18"/>
                <w:lang w:eastAsia="es-ES"/>
              </w:rPr>
            </w:r>
          </w:p>
        </w:tc>
        <w:tc>
          <w:tcPr>
            <w:tcW w:w="1163" w:type="dxa"/>
            <w:tcBorders>
              <w:top w:val="single" w:sz="4" w:space="0" w:color="C00000"/>
              <w:left w:val="single" w:sz="4" w:space="0" w:color="C00000"/>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USD  54 </w:t>
            </w:r>
          </w:p>
        </w:tc>
        <w:tc>
          <w:tcPr>
            <w:tcW w:w="1275" w:type="dxa"/>
            <w:tcBorders>
              <w:top w:val="single" w:sz="4" w:space="0" w:color="C00000"/>
              <w:left w:val="single" w:sz="4" w:space="0" w:color="C00000"/>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USD 38 </w:t>
            </w:r>
          </w:p>
        </w:tc>
        <w:tc>
          <w:tcPr>
            <w:tcW w:w="1275" w:type="dxa"/>
            <w:tcBorders>
              <w:top w:val="single" w:sz="4" w:space="0" w:color="C00000"/>
              <w:left w:val="single" w:sz="4" w:space="0" w:color="C00000"/>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32</w:t>
            </w:r>
          </w:p>
        </w:tc>
        <w:tc>
          <w:tcPr>
            <w:tcW w:w="1277" w:type="dxa"/>
            <w:tcBorders>
              <w:top w:val="single" w:sz="4" w:space="0" w:color="C00000"/>
              <w:left w:val="single" w:sz="4" w:space="0" w:color="C00000"/>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USD 28 </w:t>
            </w:r>
          </w:p>
        </w:tc>
      </w:tr>
    </w:tbl>
    <w:p>
      <w:pPr>
        <w:pStyle w:val="Normal"/>
        <w:spacing w:lineRule="auto" w:line="240" w:before="0" w:after="0"/>
        <w:jc w:val="both"/>
        <w:rPr>
          <w:rFonts w:ascii="Arial" w:hAnsi="Arial" w:eastAsia="Times New Roman" w:cs="Arial"/>
          <w:b/>
          <w:b/>
          <w:color w:val="E36C0A" w:themeColor="accent6" w:themeShade="bf"/>
          <w:sz w:val="20"/>
          <w:szCs w:val="20"/>
          <w:u w:val="single"/>
          <w:lang w:val="es-ES_tradnl" w:eastAsia="es-ES"/>
        </w:rPr>
      </w:pPr>
      <w:r>
        <w:rPr>
          <w:rFonts w:eastAsia="Times New Roman" w:cs="Arial" w:ascii="Arial" w:hAnsi="Arial"/>
          <w:b/>
          <w:color w:val="E36C0A" w:themeColor="accent6" w:themeShade="bf"/>
          <w:sz w:val="20"/>
          <w:szCs w:val="20"/>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NOTAS IMPORTANTES:</w:t>
      </w:r>
    </w:p>
    <w:p>
      <w:pPr>
        <w:pStyle w:val="NoSpacing"/>
        <w:widowControl w:val="false"/>
        <w:numPr>
          <w:ilvl w:val="0"/>
          <w:numId w:val="6"/>
        </w:numPr>
        <w:jc w:val="both"/>
        <w:textAlignment w:val="baseline"/>
        <w:rPr>
          <w:rFonts w:ascii="Arial" w:hAnsi="Arial" w:cs="Arial"/>
          <w:sz w:val="18"/>
          <w:szCs w:val="18"/>
          <w:lang w:val="es-ES" w:eastAsia="es-ES"/>
        </w:rPr>
      </w:pPr>
      <w:r>
        <w:rPr>
          <w:rFonts w:cs="Arial" w:ascii="Arial" w:hAnsi="Arial"/>
          <w:sz w:val="18"/>
          <w:szCs w:val="18"/>
          <w:lang w:val="es-ES" w:eastAsia="es-ES"/>
        </w:rPr>
        <w:t>Tarifas expresadas por persona,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Tarifas sujetas a disponibilidad al momento de reservar y a reconfirmar en fechas o periodos especiales (semana santa, feriados, congresos, vacaciones de invierno, navidad, año nuevo, carnaval, eventos deportivos etc.).</w:t>
      </w:r>
    </w:p>
    <w:p>
      <w:pPr>
        <w:pStyle w:val="NoSpacing"/>
        <w:widowControl w:val="false"/>
        <w:numPr>
          <w:ilvl w:val="0"/>
          <w:numId w:val="2"/>
        </w:numPr>
        <w:jc w:val="both"/>
        <w:textAlignment w:val="baseline"/>
        <w:rPr>
          <w:rFonts w:ascii="Arial" w:hAnsi="Arial" w:cs="Arial"/>
          <w:b/>
          <w:b/>
          <w:i/>
          <w:i/>
          <w:sz w:val="18"/>
          <w:szCs w:val="18"/>
          <w:lang w:val="es-ES_tradnl" w:eastAsia="es-ES"/>
        </w:rPr>
      </w:pPr>
      <w:r>
        <w:rPr>
          <w:rFonts w:cs="Arial" w:ascii="Arial" w:hAnsi="Arial"/>
          <w:b/>
          <w:i/>
          <w:sz w:val="18"/>
          <w:szCs w:val="18"/>
          <w:lang w:val="es-ES_tradnl" w:eastAsia="es-ES"/>
        </w:rPr>
        <w:t>ARGENTINA:</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Informamos que el Gobierno de la Ciudad de Buenos Aires, se establece el cobro de una percepción sobre el Derecho de Uso Urbano llamada “TASA VISIT CABA”. Aplica a turistas no residentes, a partir de los 12 años, dicho impuesto se cobrará al momento del check-out en la recepción del hotel, sin excepción, en base al Tipo de Cambio oficial de Banco Nación, por cada noche de alojamiento y a cada uno de los pasajeros no residentes. Se emitirá Factura tipo B por dicho concepto que será entregada al pasajero en cuanto se retire del hotel. Se pagará por noche y por persona dependiendo de la característica del alojamiento utilizado, los precios mencionados son orientativos y sujetos a cambio por disposición de del gobierno de la Ciudad de Buenos Aires:</w:t>
      </w:r>
    </w:p>
    <w:p>
      <w:pPr>
        <w:pStyle w:val="NoSpacing"/>
        <w:widowControl w:val="false"/>
        <w:ind w:left="720" w:hanging="0"/>
        <w:jc w:val="both"/>
        <w:textAlignment w:val="baseline"/>
        <w:rPr>
          <w:rFonts w:ascii="Arial" w:hAnsi="Arial" w:cs="Arial"/>
          <w:sz w:val="18"/>
          <w:szCs w:val="18"/>
          <w:lang w:val="es-ES_tradnl" w:eastAsia="es-ES"/>
        </w:rPr>
      </w:pPr>
      <w:r>
        <w:rPr>
          <w:rFonts w:cs="Arial" w:ascii="Arial" w:hAnsi="Arial"/>
          <w:sz w:val="18"/>
          <w:szCs w:val="18"/>
          <w:lang w:val="es-ES_tradnl" w:eastAsia="es-ES"/>
        </w:rPr>
        <w:t>Hoteles 3* estrellas USD 0.50</w:t>
      </w:r>
    </w:p>
    <w:p>
      <w:pPr>
        <w:pStyle w:val="NoSpacing"/>
        <w:widowControl w:val="false"/>
        <w:ind w:left="720" w:hanging="0"/>
        <w:jc w:val="both"/>
        <w:textAlignment w:val="baseline"/>
        <w:rPr>
          <w:rFonts w:ascii="Arial" w:hAnsi="Arial" w:cs="Arial"/>
          <w:sz w:val="18"/>
          <w:szCs w:val="18"/>
          <w:lang w:val="es-ES_tradnl" w:eastAsia="es-ES"/>
        </w:rPr>
      </w:pPr>
      <w:r>
        <w:rPr>
          <w:rFonts w:cs="Arial" w:ascii="Arial" w:hAnsi="Arial"/>
          <w:sz w:val="18"/>
          <w:szCs w:val="18"/>
          <w:lang w:val="es-ES_tradnl" w:eastAsia="es-ES"/>
        </w:rPr>
        <w:t>Hoteles 4* estrellas USD 1.00</w:t>
      </w:r>
    </w:p>
    <w:p>
      <w:pPr>
        <w:pStyle w:val="NoSpacing"/>
        <w:widowControl w:val="false"/>
        <w:ind w:left="720" w:hanging="0"/>
        <w:jc w:val="both"/>
        <w:textAlignment w:val="baseline"/>
        <w:rPr>
          <w:rFonts w:ascii="Arial" w:hAnsi="Arial" w:cs="Arial"/>
          <w:sz w:val="18"/>
          <w:szCs w:val="18"/>
          <w:lang w:val="es-ES_tradnl" w:eastAsia="es-ES"/>
        </w:rPr>
      </w:pPr>
      <w:r>
        <w:rPr>
          <w:rFonts w:cs="Arial" w:ascii="Arial" w:hAnsi="Arial"/>
          <w:sz w:val="18"/>
          <w:szCs w:val="18"/>
          <w:lang w:val="es-ES_tradnl" w:eastAsia="es-ES"/>
        </w:rPr>
        <w:t>Hoteles 5* estrellas USD 1.50</w:t>
      </w:r>
    </w:p>
    <w:p>
      <w:pPr>
        <w:pStyle w:val="NoSpacing"/>
        <w:widowControl w:val="false"/>
        <w:ind w:left="720" w:hanging="0"/>
        <w:jc w:val="both"/>
        <w:textAlignment w:val="baseline"/>
        <w:rPr>
          <w:rFonts w:ascii="Arial" w:hAnsi="Arial" w:cs="Arial"/>
          <w:sz w:val="18"/>
          <w:szCs w:val="18"/>
          <w:lang w:val="es-ES_tradnl" w:eastAsia="es-ES"/>
        </w:rPr>
      </w:pPr>
      <w:r>
        <w:rPr>
          <w:rFonts w:cs="Arial" w:ascii="Arial" w:hAnsi="Arial"/>
          <w:sz w:val="18"/>
          <w:szCs w:val="18"/>
          <w:lang w:val="es-ES_tradnl" w:eastAsia="es-ES"/>
        </w:rPr>
        <w:t>Hoteles Boutique USD 1.00</w:t>
      </w:r>
    </w:p>
    <w:p>
      <w:pPr>
        <w:pStyle w:val="NoSpacing"/>
        <w:widowControl w:val="false"/>
        <w:ind w:left="720" w:hanging="0"/>
        <w:jc w:val="both"/>
        <w:textAlignment w:val="baseline"/>
        <w:rPr>
          <w:rFonts w:ascii="Arial" w:hAnsi="Arial" w:cs="Arial"/>
          <w:sz w:val="18"/>
          <w:szCs w:val="18"/>
          <w:lang w:val="es-ES" w:eastAsia="es-ES"/>
        </w:rPr>
      </w:pPr>
      <w:r>
        <w:rPr>
          <w:rFonts w:cs="Arial" w:ascii="Arial" w:hAnsi="Arial"/>
          <w:sz w:val="18"/>
          <w:szCs w:val="18"/>
          <w:lang w:val="es-ES" w:eastAsia="es-ES"/>
        </w:rPr>
        <w:t>Apart Hoteles USD 0.50</w:t>
      </w:r>
    </w:p>
    <w:p>
      <w:pPr>
        <w:pStyle w:val="NoSpacing"/>
        <w:widowControl w:val="false"/>
        <w:ind w:left="720" w:hanging="0"/>
        <w:jc w:val="both"/>
        <w:textAlignment w:val="baseline"/>
        <w:rPr>
          <w:rFonts w:ascii="Arial" w:hAnsi="Arial" w:cs="Arial"/>
          <w:sz w:val="18"/>
          <w:szCs w:val="18"/>
          <w:lang w:val="es-ES_tradnl" w:eastAsia="es-ES"/>
        </w:rPr>
      </w:pPr>
      <w:r>
        <w:rPr>
          <w:rFonts w:cs="Arial" w:ascii="Arial" w:hAnsi="Arial"/>
          <w:sz w:val="18"/>
          <w:szCs w:val="18"/>
          <w:lang w:val="es-ES_tradnl" w:eastAsia="es-ES"/>
        </w:rPr>
        <w:t>Cruceros USD 1.00</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El orden de los servicios previstos mencionados en este itinerario podría modificarse en función de la disponibilidad terrestre o condiciones climáticas del lugar, pero siempre serán dadas conforme fueron adquiridas.</w:t>
      </w:r>
    </w:p>
    <w:p>
      <w:pPr>
        <w:pStyle w:val="ListParagraph"/>
        <w:widowControl w:val="false"/>
        <w:numPr>
          <w:ilvl w:val="0"/>
          <w:numId w:val="2"/>
        </w:numPr>
        <w:spacing w:lineRule="auto" w:line="240"/>
        <w:jc w:val="both"/>
        <w:textAlignment w:val="baseline"/>
        <w:rPr>
          <w:rFonts w:ascii="Arial" w:hAnsi="Arial" w:cs="Arial"/>
          <w:sz w:val="18"/>
          <w:szCs w:val="18"/>
          <w:lang w:eastAsia="es-ES"/>
        </w:rPr>
      </w:pPr>
      <w:r>
        <w:rPr>
          <w:rFonts w:cs="Arial" w:ascii="Arial" w:hAnsi="Arial"/>
          <w:sz w:val="18"/>
          <w:szCs w:val="18"/>
        </w:rPr>
        <w:t>Los servicios de traslados y excursiones son otorgados como servicios regulares; estos servicios están sujetos a horarios pre-establecidos y se brindan junto a otros pasajeros. Consulte los precios en servicio privado.</w:t>
      </w:r>
    </w:p>
    <w:p>
      <w:pPr>
        <w:pStyle w:val="ListParagraph"/>
        <w:widowControl w:val="false"/>
        <w:numPr>
          <w:ilvl w:val="0"/>
          <w:numId w:val="2"/>
        </w:numPr>
        <w:spacing w:lineRule="auto" w:line="240"/>
        <w:jc w:val="both"/>
        <w:textAlignment w:val="baseline"/>
        <w:rPr>
          <w:rFonts w:ascii="Arial" w:hAnsi="Arial" w:cs="Arial"/>
          <w:sz w:val="18"/>
          <w:szCs w:val="18"/>
          <w:lang w:eastAsia="es-ES"/>
        </w:rPr>
      </w:pPr>
      <w:r>
        <w:rPr>
          <w:rFonts w:cs="Arial" w:ascii="Arial" w:hAnsi="Arial"/>
          <w:sz w:val="18"/>
          <w:szCs w:val="18"/>
          <w:lang w:eastAsia="es-ES"/>
        </w:rPr>
        <w:t>Consulte suplemento para traslados desde y/o hasta el aeropuerto en horario nocturno.</w:t>
      </w:r>
    </w:p>
    <w:p>
      <w:pPr>
        <w:pStyle w:val="ListParagraph"/>
        <w:widowControl w:val="false"/>
        <w:numPr>
          <w:ilvl w:val="0"/>
          <w:numId w:val="2"/>
        </w:numPr>
        <w:spacing w:lineRule="auto" w:line="240"/>
        <w:jc w:val="both"/>
        <w:textAlignment w:val="baseline"/>
        <w:rPr>
          <w:rFonts w:ascii="Arial" w:hAnsi="Arial" w:cs="Arial"/>
          <w:sz w:val="18"/>
          <w:szCs w:val="18"/>
          <w:lang w:eastAsia="es-ES"/>
        </w:rPr>
      </w:pPr>
      <w:r>
        <w:rPr>
          <w:rFonts w:cs="Arial" w:ascii="Arial" w:hAnsi="Arial"/>
          <w:sz w:val="18"/>
          <w:szCs w:val="18"/>
          <w:lang w:val="es-ES_tradnl" w:eastAsia="es-ES"/>
        </w:rPr>
        <w:t>Los horarios de registro de entrada (check-in 15:00 hrs) y salida (check-out 09:00 hrs) de los hoteles están sujetos a las formalidades de cada hotel, pudiendo tener los horarios anteriormente mencionados. En caso de que la llegada fuese antes del horario establecido, existe la posibilidad de que la habitación no sea facilitada hasta el horario correspondiente. Si su avión regresa por la tarde, el hotel podrá mantener sus pertenencias.</w:t>
      </w:r>
    </w:p>
    <w:p>
      <w:pPr>
        <w:pStyle w:val="ListParagraph"/>
        <w:widowControl w:val="false"/>
        <w:numPr>
          <w:ilvl w:val="0"/>
          <w:numId w:val="2"/>
        </w:numPr>
        <w:spacing w:lineRule="auto" w:line="240"/>
        <w:jc w:val="both"/>
        <w:textAlignment w:val="baseline"/>
        <w:rPr>
          <w:rFonts w:ascii="Arial" w:hAnsi="Arial" w:cs="Arial"/>
          <w:sz w:val="18"/>
          <w:szCs w:val="18"/>
          <w:lang w:eastAsia="es-ES"/>
        </w:rPr>
      </w:pPr>
      <w:r>
        <w:rPr>
          <w:rFonts w:cs="Arial" w:ascii="Arial" w:hAnsi="Arial"/>
          <w:sz w:val="18"/>
          <w:szCs w:val="18"/>
          <w:lang w:val="es-ES_tradnl" w:eastAsia="es-ES"/>
        </w:rPr>
        <w:t xml:space="preserve">Los hoteles comienzan el servicio de desayuno en un horario entre las 07:00 y las 8:00hrs, por lo que en caso de los pasajeros tengan vuelos con salidas antes de este horario, Tourmundial no se hace responsable de la pérdida o reposición del servicio, así como el hotel no garantiza el servicio de box lunch o “desayuno to go”. </w:t>
      </w:r>
    </w:p>
    <w:p>
      <w:pPr>
        <w:pStyle w:val="ListParagraph"/>
        <w:widowControl w:val="false"/>
        <w:numPr>
          <w:ilvl w:val="0"/>
          <w:numId w:val="2"/>
        </w:numPr>
        <w:spacing w:lineRule="auto" w:line="240"/>
        <w:jc w:val="both"/>
        <w:textAlignment w:val="baseline"/>
        <w:rPr>
          <w:rFonts w:ascii="Arial" w:hAnsi="Arial" w:cs="Arial"/>
          <w:sz w:val="18"/>
          <w:szCs w:val="18"/>
          <w:lang w:eastAsia="es-ES"/>
        </w:rPr>
      </w:pPr>
      <w:r>
        <w:rPr>
          <w:rFonts w:cs="Arial" w:ascii="Arial" w:hAnsi="Arial"/>
          <w:sz w:val="18"/>
          <w:szCs w:val="18"/>
        </w:rPr>
        <w:t>Operación a partir de mínimo 2 personas.</w:t>
      </w:r>
    </w:p>
    <w:p>
      <w:pPr>
        <w:pStyle w:val="Normal"/>
        <w:spacing w:lineRule="auto" w:line="240" w:before="0" w:after="0"/>
        <w:jc w:val="center"/>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AVISO DE PRIVACIDAD:</w:t>
      </w:r>
    </w:p>
    <w:p>
      <w:pPr>
        <w:pStyle w:val="NoSpacing"/>
        <w:widowControl w:val="false"/>
        <w:jc w:val="both"/>
        <w:textAlignment w:val="baseline"/>
        <w:rPr>
          <w:rFonts w:ascii="Arial" w:hAnsi="Arial" w:cs="Arial"/>
          <w:sz w:val="18"/>
          <w:szCs w:val="18"/>
          <w:lang w:val="es-ES"/>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Style w:val="EnlacedeInternet"/>
            <w:rFonts w:cs="Arial" w:ascii="Arial" w:hAnsi="Arial"/>
            <w:sz w:val="18"/>
            <w:szCs w:val="18"/>
            <w:lang w:val="es-ES"/>
          </w:rPr>
          <w:t>www.tourmundial.mx</w:t>
        </w:r>
      </w:hyperlink>
      <w:r>
        <w:rPr>
          <w:rFonts w:cs="Arial" w:ascii="Arial" w:hAnsi="Arial"/>
          <w:sz w:val="18"/>
          <w:szCs w:val="18"/>
          <w:lang w:val="es-ES"/>
        </w:rPr>
        <w:tab/>
      </w:r>
    </w:p>
    <w:p>
      <w:pPr>
        <w:pStyle w:val="NoSpacing"/>
        <w:widowControl w:val="false"/>
        <w:jc w:val="both"/>
        <w:textAlignment w:val="baseline"/>
        <w:rPr>
          <w:rFonts w:ascii="Arial" w:hAnsi="Arial" w:cs="Arial"/>
          <w:sz w:val="18"/>
          <w:szCs w:val="18"/>
          <w:lang w:val="es-ES"/>
        </w:rPr>
      </w:pPr>
      <w:r>
        <w:rPr>
          <w:rFonts w:cs="Arial" w:ascii="Arial" w:hAnsi="Arial"/>
          <w:sz w:val="18"/>
          <w:szCs w:val="18"/>
          <w:lang w:val="es-ES"/>
        </w:rPr>
      </w:r>
    </w:p>
    <w:p>
      <w:pPr>
        <w:pStyle w:val="NoSpacing"/>
        <w:widowControl w:val="false"/>
        <w:jc w:val="both"/>
        <w:textAlignment w:val="baseline"/>
        <w:rPr>
          <w:rFonts w:ascii="Arial" w:hAnsi="Arial" w:cs="Arial"/>
          <w:sz w:val="18"/>
          <w:szCs w:val="18"/>
          <w:lang w:val="es-ES"/>
        </w:rPr>
      </w:pPr>
      <w:r>
        <w:rPr>
          <w:rFonts w:cs="Arial" w:ascii="Arial" w:hAnsi="Arial"/>
          <w:sz w:val="18"/>
          <w:szCs w:val="18"/>
          <w:lang w:val="es-ES"/>
        </w:rPr>
      </w:r>
    </w:p>
    <w:p>
      <w:pPr>
        <w:pStyle w:val="NoSpacing"/>
        <w:widowControl w:val="false"/>
        <w:jc w:val="center"/>
        <w:textAlignment w:val="baseline"/>
        <w:rPr>
          <w:rFonts w:ascii="Arial" w:hAnsi="Arial" w:cs="Arial"/>
          <w:b/>
          <w:b/>
          <w:color w:val="E36C0A" w:themeColor="accent6" w:themeShade="bf"/>
          <w:sz w:val="22"/>
          <w:szCs w:val="22"/>
          <w:u w:val="single"/>
          <w:lang w:val="es-ES_tradnl" w:eastAsia="es-ES"/>
        </w:rPr>
      </w:pPr>
      <w:r>
        <w:rPr>
          <w:rFonts w:cs="Arial" w:ascii="Arial" w:hAnsi="Arial"/>
          <w:b/>
          <w:color w:val="E36C0A" w:themeColor="accent6" w:themeShade="bf"/>
          <w:sz w:val="22"/>
          <w:szCs w:val="22"/>
          <w:u w:val="single"/>
          <w:lang w:val="es-ES_tradnl" w:eastAsia="es-ES"/>
        </w:rPr>
        <w:t>VIGENCIA HASTA EL 19 DE MARZO 2025</w:t>
      </w:r>
    </w:p>
    <w:p>
      <w:pPr>
        <w:pStyle w:val="NoSpacing"/>
        <w:widowControl w:val="false"/>
        <w:jc w:val="center"/>
        <w:textAlignment w:val="baseline"/>
        <w:rPr>
          <w:rFonts w:ascii="Arial" w:hAnsi="Arial" w:cs="Arial"/>
          <w:b/>
          <w:b/>
          <w:color w:val="FFFFFF" w:themeColor="background1"/>
          <w:sz w:val="18"/>
          <w:szCs w:val="18"/>
          <w:u w:val="single"/>
          <w:lang w:val="es-ES_tradnl" w:eastAsia="es-ES"/>
        </w:rPr>
      </w:pPr>
      <w:r>
        <w:rPr>
          <w:rFonts w:cs="Arial" w:ascii="Arial" w:hAnsi="Arial"/>
          <w:b/>
          <w:color w:val="FFFFFF" w:themeColor="background1"/>
          <w:sz w:val="18"/>
          <w:szCs w:val="18"/>
          <w:highlight w:val="blue"/>
          <w:u w:val="single"/>
          <w:lang w:val="es-ES_tradnl" w:eastAsia="es-ES"/>
        </w:rPr>
        <w:t>SE REQUIERE DE PREPAGO</w:t>
      </w:r>
    </w:p>
    <w:tbl>
      <w:tblPr>
        <w:tblStyle w:val="Sombreadomedio1-nfasis6"/>
        <w:tblW w:w="8921"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8921"/>
      </w:tblGrid>
      <w:tr>
        <w:trPr>
          <w:trHeight w:val="353" w:hRule="atLeast"/>
          <w:cnfStyle w:val="100000000000" w:firstRow="1" w:lastRow="0" w:firstColumn="0" w:lastColumn="0" w:oddVBand="0" w:evenVBand="0" w:oddHBand="0" w:evenHBand="0" w:firstRowFirstColumn="0" w:firstRowLastColumn="0" w:lastRowFirstColumn="0" w:lastRowLastColumn="0"/>
        </w:trPr>
        <w:tc>
          <w:tcPr>
            <w:tcW w:w="8921"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vAlign w:val="center"/>
          </w:tcPr>
          <w:p>
            <w:pPr>
              <w:pStyle w:val="NoSpacing"/>
              <w:widowControl w:val="fals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w:t>
            </w:r>
          </w:p>
        </w:tc>
      </w:tr>
      <w:tr>
        <w:trPr>
          <w:trHeight w:val="353" w:hRule="atLeast"/>
          <w:cnfStyle w:val="000000100000" w:firstRow="0" w:lastRow="0" w:firstColumn="0" w:lastColumn="0" w:oddVBand="0" w:evenVBand="0" w:oddHBand="1" w:evenHBand="0" w:firstRowFirstColumn="0" w:firstRowLastColumn="0" w:lastRowFirstColumn="0" w:lastRowLastColumn="0"/>
        </w:trPr>
        <w:tc>
          <w:tcPr>
            <w:tcW w:w="8921"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vAlign w:val="center"/>
          </w:tcPr>
          <w:p>
            <w:pPr>
              <w:pStyle w:val="NoSpacing"/>
              <w:widowControl w:val="false"/>
              <w:numPr>
                <w:ilvl w:val="0"/>
                <w:numId w:val="3"/>
              </w:numPr>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34 días antes de la fecha de salida del pasajero: SIN CARGO.</w:t>
            </w:r>
          </w:p>
          <w:p>
            <w:pPr>
              <w:pStyle w:val="NoSpacing"/>
              <w:widowControl w:val="false"/>
              <w:numPr>
                <w:ilvl w:val="0"/>
                <w:numId w:val="3"/>
              </w:numPr>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Entre 33 y 19 días antes de la fecha de salida del pasajero </w:t>
            </w:r>
            <w:r>
              <w:rPr>
                <w:rFonts w:cs="Arial" w:ascii="Arial" w:hAnsi="Arial"/>
                <w:b/>
                <w:bCs/>
                <w:kern w:val="0"/>
                <w:sz w:val="18"/>
                <w:szCs w:val="18"/>
                <w:u w:val="single"/>
                <w:lang w:val="es-ES_tradnl" w:eastAsia="es-ES" w:bidi="ar-SA"/>
              </w:rPr>
              <w:t xml:space="preserve">50% </w:t>
            </w:r>
            <w:r>
              <w:rPr>
                <w:rFonts w:cs="Arial" w:ascii="Arial" w:hAnsi="Arial"/>
                <w:b/>
                <w:bCs/>
                <w:kern w:val="0"/>
                <w:sz w:val="18"/>
                <w:szCs w:val="18"/>
                <w:lang w:val="es-ES_tradnl" w:eastAsia="es-ES" w:bidi="ar-SA"/>
              </w:rPr>
              <w:t>del total de la reservación.</w:t>
            </w:r>
          </w:p>
          <w:p>
            <w:pPr>
              <w:pStyle w:val="NoSpacing"/>
              <w:widowControl w:val="false"/>
              <w:numPr>
                <w:ilvl w:val="0"/>
                <w:numId w:val="3"/>
              </w:numPr>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Entre 18 y 12 días antes de la fecha de salida del pasajero </w:t>
            </w:r>
            <w:r>
              <w:rPr>
                <w:rFonts w:cs="Arial" w:ascii="Arial" w:hAnsi="Arial"/>
                <w:b/>
                <w:bCs/>
                <w:kern w:val="0"/>
                <w:sz w:val="18"/>
                <w:szCs w:val="18"/>
                <w:u w:val="single"/>
                <w:lang w:val="es-ES_tradnl" w:eastAsia="es-ES" w:bidi="ar-SA"/>
              </w:rPr>
              <w:t>75%</w:t>
            </w:r>
            <w:r>
              <w:rPr>
                <w:rFonts w:cs="Arial" w:ascii="Arial" w:hAnsi="Arial"/>
                <w:b/>
                <w:bCs/>
                <w:kern w:val="0"/>
                <w:sz w:val="18"/>
                <w:szCs w:val="18"/>
                <w:lang w:val="es-ES_tradnl" w:eastAsia="es-ES" w:bidi="ar-SA"/>
              </w:rPr>
              <w:t xml:space="preserve"> del total de la reservación.</w:t>
            </w:r>
          </w:p>
          <w:p>
            <w:pPr>
              <w:pStyle w:val="NoSpacing"/>
              <w:widowControl w:val="false"/>
              <w:numPr>
                <w:ilvl w:val="0"/>
                <w:numId w:val="3"/>
              </w:numPr>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11 días antes de la fecha de salida del pasajero, </w:t>
            </w:r>
            <w:r>
              <w:rPr>
                <w:rFonts w:cs="Arial" w:ascii="Arial" w:hAnsi="Arial"/>
                <w:b/>
                <w:bCs/>
                <w:kern w:val="0"/>
                <w:sz w:val="18"/>
                <w:szCs w:val="18"/>
                <w:u w:val="single"/>
                <w:lang w:val="es-ES_tradnl" w:eastAsia="es-ES" w:bidi="ar-SA"/>
              </w:rPr>
              <w:t>100%</w:t>
            </w:r>
            <w:r>
              <w:rPr>
                <w:rFonts w:cs="Arial" w:ascii="Arial" w:hAnsi="Arial"/>
                <w:b/>
                <w:bCs/>
                <w:kern w:val="0"/>
                <w:sz w:val="18"/>
                <w:szCs w:val="18"/>
                <w:lang w:val="es-ES_tradnl" w:eastAsia="es-ES" w:bidi="ar-SA"/>
              </w:rPr>
              <w:t xml:space="preserve"> del total de la reservación.</w:t>
            </w:r>
          </w:p>
          <w:p>
            <w:pPr>
              <w:pStyle w:val="NoSpacing"/>
              <w:widowControl w:val="false"/>
              <w:numPr>
                <w:ilvl w:val="0"/>
                <w:numId w:val="3"/>
              </w:numPr>
              <w:spacing w:before="0" w:after="0"/>
              <w:jc w:val="both"/>
              <w:textAlignment w:val="baseline"/>
              <w:rPr>
                <w:rFonts w:ascii="Arial" w:hAnsi="Arial" w:cs="Arial"/>
                <w:sz w:val="18"/>
                <w:szCs w:val="18"/>
                <w:lang w:val="es-ES" w:eastAsia="es-ES"/>
              </w:rPr>
            </w:pPr>
            <w:r>
              <w:rPr>
                <w:rFonts w:cs="Arial" w:ascii="Arial" w:hAnsi="Arial"/>
                <w:b/>
                <w:bCs/>
                <w:kern w:val="0"/>
                <w:sz w:val="18"/>
                <w:szCs w:val="18"/>
                <w:lang w:val="es-ES" w:eastAsia="es-ES" w:bidi="ar-SA"/>
              </w:rPr>
              <w:t xml:space="preserve">NO SHOW </w:t>
            </w:r>
            <w:r>
              <w:rPr>
                <w:rFonts w:cs="Arial" w:ascii="Arial" w:hAnsi="Arial"/>
                <w:b/>
                <w:bCs/>
                <w:kern w:val="0"/>
                <w:sz w:val="18"/>
                <w:szCs w:val="18"/>
                <w:u w:val="single"/>
                <w:lang w:val="es-ES" w:eastAsia="es-ES" w:bidi="ar-SA"/>
              </w:rPr>
              <w:t>100%</w:t>
            </w:r>
            <w:r>
              <w:rPr>
                <w:rFonts w:cs="Arial" w:ascii="Arial" w:hAnsi="Arial"/>
                <w:b/>
                <w:bCs/>
                <w:kern w:val="0"/>
                <w:sz w:val="18"/>
                <w:szCs w:val="18"/>
                <w:lang w:val="es-ES" w:eastAsia="es-ES" w:bidi="ar-SA"/>
              </w:rPr>
              <w:t xml:space="preserve"> del total de la reservación.</w:t>
            </w:r>
          </w:p>
        </w:tc>
      </w:tr>
    </w:tbl>
    <w:p>
      <w:pPr>
        <w:pStyle w:val="NoSpacing"/>
        <w:widowControl w:val="false"/>
        <w:jc w:val="center"/>
        <w:textAlignment w:val="baseline"/>
        <w:rPr>
          <w:rFonts w:ascii="Arial" w:hAnsi="Arial" w:cs="Arial"/>
          <w:lang w:val="es-MX"/>
        </w:rPr>
      </w:pPr>
      <w:r>
        <w:rPr>
          <w:rFonts w:cs="Arial" w:ascii="Arial" w:hAnsi="Arial"/>
          <w:b/>
          <w:sz w:val="18"/>
          <w:szCs w:val="18"/>
          <w:u w:val="single"/>
          <w:lang w:val="es-ES_tradnl" w:eastAsia="es-ES"/>
        </w:rPr>
        <w:t>El presente documento es de carácter informativo, más no una confirmación.</w:t>
      </w:r>
    </w:p>
    <w:p>
      <w:pPr>
        <w:pStyle w:val="NoSpacing"/>
        <w:widowControl w:val="false"/>
        <w:jc w:val="center"/>
        <w:textAlignment w:val="baseline"/>
        <w:rPr>
          <w:rFonts w:ascii="Arial" w:hAnsi="Arial" w:cs="Arial"/>
          <w:lang w:val="es-MX"/>
        </w:rPr>
      </w:pPr>
      <w:r>
        <w:rPr/>
      </w:r>
    </w:p>
    <w:sectPr>
      <w:headerReference w:type="default" r:id="rId4"/>
      <w:footerReference w:type="default" r:id="rId5"/>
      <w:type w:val="nextPage"/>
      <w:pgSz w:w="11906" w:h="16838"/>
      <w:pgMar w:left="1077" w:right="1077" w:gutter="0" w:header="709" w:top="1440" w:footer="34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Proxima Nova">
    <w:charset w:val="00"/>
    <w:family w:val="roman"/>
    <w:pitch w:val="variable"/>
  </w:font>
  <w:font w:name="Arial">
    <w:charset w:val="00"/>
    <w:family w:val="roman"/>
    <w:pitch w:val="variable"/>
  </w:font>
  <w:font w:name="Courier New">
    <w:charset w:val="01"/>
    <w:family w:val="modern"/>
    <w:pitch w:val="fixed"/>
  </w:font>
  <w:font w:name="Wingdings">
    <w:charset w:val="02"/>
    <w:family w:val="auto"/>
    <w:pitch w:val="variable"/>
  </w:font>
  <w:font w:name="Lucida Sans Unicode">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 xml:space="preserve"> </w:t>
    </w: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 xml:space="preserve"> 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w:rPr/>
      <mc:AlternateContent>
        <mc:Choice Requires="wps">
          <w:drawing>
            <wp:anchor behindDoc="1" distT="0" distB="17145" distL="0" distR="19050" simplePos="0" locked="0" layoutInCell="0" allowOverlap="1" relativeHeight="5" wp14:anchorId="39325ADD">
              <wp:simplePos x="0" y="0"/>
              <wp:positionH relativeFrom="page">
                <wp:posOffset>-609600</wp:posOffset>
              </wp:positionH>
              <wp:positionV relativeFrom="paragraph">
                <wp:posOffset>-764540</wp:posOffset>
              </wp:positionV>
              <wp:extent cx="8439150" cy="1221105"/>
              <wp:effectExtent l="12700" t="12700" r="12700" b="12700"/>
              <wp:wrapNone/>
              <wp:docPr id="2" name="Rectángulo 1"/>
              <a:graphic xmlns:a="http://schemas.openxmlformats.org/drawingml/2006/main">
                <a:graphicData uri="http://schemas.microsoft.com/office/word/2010/wordprocessingShape">
                  <wps:wsp>
                    <wps:cNvSpPr/>
                    <wps:spPr>
                      <a:xfrm>
                        <a:off x="0" y="0"/>
                        <a:ext cx="8439120" cy="1221120"/>
                      </a:xfrm>
                      <a:prstGeom prst="rect">
                        <a:avLst/>
                      </a:prstGeom>
                      <a:solidFill>
                        <a:schemeClr val="bg1">
                          <a:lumMod val="75000"/>
                        </a:schemeClr>
                      </a:solidFill>
                      <a:ln>
                        <a:solidFill>
                          <a:srgbClr val="ffffff">
                            <a:lumMod val="75000"/>
                          </a:srgbClr>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48pt;margin-top:-60.2pt;width:664.45pt;height:96.1pt;mso-wrap-style:none;v-text-anchor:middle;mso-position-horizontal-relative:page" wp14:anchorId="39325ADD">
              <v:fill o:detectmouseclick="t" type="solid" color2="#404040"/>
              <v:stroke color="#bfbfbf" weight="25560" joinstyle="round" endcap="flat"/>
              <w10:wrap type="none"/>
            </v:rect>
          </w:pict>
        </mc:Fallback>
      </mc:AlternateContent>
      <w:drawing>
        <wp:anchor behindDoc="1" distT="0" distB="0" distL="0" distR="0" simplePos="0" locked="0" layoutInCell="0" allowOverlap="1" relativeHeight="9">
          <wp:simplePos x="0" y="0"/>
          <wp:positionH relativeFrom="column">
            <wp:posOffset>-38100</wp:posOffset>
          </wp:positionH>
          <wp:positionV relativeFrom="paragraph">
            <wp:posOffset>-212725</wp:posOffset>
          </wp:positionV>
          <wp:extent cx="1960245" cy="473075"/>
          <wp:effectExtent l="0" t="0" r="0" b="0"/>
          <wp:wrapNone/>
          <wp:docPr id="3"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
                  <pic:cNvPicPr>
                    <a:picLocks noChangeAspect="1" noChangeArrowheads="1"/>
                  </pic:cNvPicPr>
                </pic:nvPicPr>
                <pic:blipFill>
                  <a:blip r:embed="rId1"/>
                  <a:stretch>
                    <a:fillRect/>
                  </a:stretch>
                </pic:blipFill>
                <pic:spPr bwMode="auto">
                  <a:xfrm>
                    <a:off x="0" y="0"/>
                    <a:ext cx="1960245" cy="47307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8238f"/>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e8238f"/>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e8238f"/>
    <w:rPr>
      <w:lang w:val="es-ES"/>
    </w:rPr>
  </w:style>
  <w:style w:type="character" w:styleId="EnlacedeInternet">
    <w:name w:val="Enlace de Internet"/>
    <w:basedOn w:val="DefaultParagraphFont"/>
    <w:uiPriority w:val="99"/>
    <w:unhideWhenUsed/>
    <w:rsid w:val="00e8238f"/>
    <w:rPr>
      <w:color w:val="0000FF" w:themeColor="hyperlink"/>
      <w:u w:val="single"/>
    </w:rPr>
  </w:style>
  <w:style w:type="character" w:styleId="EncabezadoCar" w:customStyle="1">
    <w:name w:val="Encabezado Car"/>
    <w:basedOn w:val="DefaultParagraphFont"/>
    <w:qFormat/>
    <w:rsid w:val="00e8238f"/>
    <w:rPr>
      <w:lang w:val="es-ES"/>
    </w:rPr>
  </w:style>
  <w:style w:type="character" w:styleId="Strong">
    <w:name w:val="Strong"/>
    <w:basedOn w:val="DefaultParagraphFont"/>
    <w:qFormat/>
    <w:rsid w:val="00240742"/>
    <w:rPr>
      <w:b/>
      <w:bCs/>
    </w:rPr>
  </w:style>
  <w:style w:type="character" w:styleId="TextodegloboCar" w:customStyle="1">
    <w:name w:val="Texto de globo Car"/>
    <w:basedOn w:val="DefaultParagraphFont"/>
    <w:link w:val="BalloonText"/>
    <w:uiPriority w:val="99"/>
    <w:semiHidden/>
    <w:qFormat/>
    <w:rsid w:val="000061d1"/>
    <w:rPr>
      <w:rFonts w:ascii="Tahoma" w:hAnsi="Tahoma" w:cs="Tahoma"/>
      <w:sz w:val="16"/>
      <w:szCs w:val="16"/>
      <w:lang w:val="es-ES"/>
    </w:rPr>
  </w:style>
  <w:style w:type="character" w:styleId="Normaltextrun" w:customStyle="1">
    <w:name w:val="normaltextrun"/>
    <w:basedOn w:val="DefaultParagraphFont"/>
    <w:qFormat/>
    <w:rsid w:val="004e51aa"/>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1"/>
    <w:qFormat/>
    <w:rsid w:val="00e8238f"/>
    <w:pPr>
      <w:widowControl/>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e8238f"/>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e8238f"/>
    <w:pPr>
      <w:tabs>
        <w:tab w:val="clear" w:pos="708"/>
        <w:tab w:val="center" w:pos="4252" w:leader="none"/>
        <w:tab w:val="right" w:pos="8504" w:leader="none"/>
      </w:tabs>
      <w:spacing w:lineRule="auto" w:line="240" w:before="0" w:after="0"/>
    </w:pPr>
    <w:rPr/>
  </w:style>
  <w:style w:type="paragraph" w:styleId="ListParagraph">
    <w:name w:val="List Paragraph"/>
    <w:basedOn w:val="Normal"/>
    <w:uiPriority w:val="34"/>
    <w:qFormat/>
    <w:rsid w:val="00e8238f"/>
    <w:pPr>
      <w:spacing w:before="0" w:after="200"/>
      <w:ind w:left="720" w:hanging="0"/>
      <w:contextualSpacing/>
    </w:pPr>
    <w:rPr/>
  </w:style>
  <w:style w:type="paragraph" w:styleId="BalloonText">
    <w:name w:val="Balloon Text"/>
    <w:basedOn w:val="Normal"/>
    <w:link w:val="TextodegloboCar"/>
    <w:uiPriority w:val="99"/>
    <w:semiHidden/>
    <w:unhideWhenUsed/>
    <w:qFormat/>
    <w:rsid w:val="000061d1"/>
    <w:pPr>
      <w:spacing w:lineRule="auto" w:line="240" w:before="0" w:after="0"/>
    </w:pPr>
    <w:rPr>
      <w:rFonts w:ascii="Tahoma" w:hAnsi="Tahoma" w:cs="Tahoma"/>
      <w:sz w:val="16"/>
      <w:szCs w:val="16"/>
    </w:rPr>
  </w:style>
  <w:style w:type="paragraph" w:styleId="Paragraph" w:customStyle="1">
    <w:name w:val="paragraph"/>
    <w:basedOn w:val="Normal"/>
    <w:qFormat/>
    <w:rsid w:val="004e51aa"/>
    <w:pPr>
      <w:spacing w:lineRule="auto" w:line="240" w:beforeAutospacing="1" w:afterAutospacing="1"/>
    </w:pPr>
    <w:rPr>
      <w:rFonts w:ascii="Times New Roman" w:hAnsi="Times New Roman" w:eastAsia="Times New Roman" w:cs="Times New Roman"/>
      <w:sz w:val="24"/>
      <w:szCs w:val="24"/>
      <w:lang w:eastAsia="es-ES"/>
    </w:rPr>
  </w:style>
  <w:style w:type="paragraph" w:styleId="Default" w:customStyle="1">
    <w:name w:val="Default"/>
    <w:qFormat/>
    <w:rsid w:val="000700fa"/>
    <w:pPr>
      <w:widowControl/>
      <w:bidi w:val="0"/>
      <w:spacing w:lineRule="auto" w:line="240" w:before="0" w:after="0"/>
      <w:jc w:val="left"/>
    </w:pPr>
    <w:rPr>
      <w:rFonts w:ascii="Proxima Nova" w:hAnsi="Proxima Nova" w:cs="Proxima Nova" w:eastAsia="Calibri"/>
      <w:color w:val="000000"/>
      <w:kern w:val="0"/>
      <w:sz w:val="24"/>
      <w:szCs w:val="24"/>
      <w:lang w:val="es-ES" w:eastAsia="en-US" w:bidi="ar-SA"/>
    </w:rPr>
  </w:style>
  <w:style w:type="paragraph" w:styleId="Contenidodelmarco">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Cuadrculamedia1-nfasis6">
    <w:name w:val="Medium Grid 1 Accent 6"/>
    <w:basedOn w:val="Tablanormal"/>
    <w:uiPriority w:val="67"/>
    <w:rsid w:val="00e8238f"/>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e8238f"/>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e8238f"/>
    <w:pPr>
      <w:spacing w:after="0" w:line="240" w:lineRule="auto"/>
    </w:pPr>
    <w:rPr>
      <w:lang w:val="es-ES"/>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6b218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 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_Flow_SignoffStatus xmlns="9b544927-d984-4834-83db-9a85f4135322" xsi:nil="true"/>
    <TaxCatchAll xmlns="659cc251-b91d-49c8-941e-02346b22050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4B924B-DE9C-4C67-96B4-E696DAB96603}"/>
</file>

<file path=customXml/itemProps2.xml><?xml version="1.0" encoding="utf-8"?>
<ds:datastoreItem xmlns:ds="http://schemas.openxmlformats.org/officeDocument/2006/customXml" ds:itemID="{7A9EED7E-273E-4A0D-AFBE-EED1CB63557B}"/>
</file>

<file path=customXml/itemProps3.xml><?xml version="1.0" encoding="utf-8"?>
<ds:datastoreItem xmlns:ds="http://schemas.openxmlformats.org/officeDocument/2006/customXml" ds:itemID="{69AA9064-8CE7-4F29-98C4-B5E7890DDB59}"/>
</file>

<file path=docProps/app.xml><?xml version="1.0" encoding="utf-8"?>
<Properties xmlns="http://schemas.openxmlformats.org/officeDocument/2006/extended-properties" xmlns:vt="http://schemas.openxmlformats.org/officeDocument/2006/docPropsVTypes">
  <Template>Normal</Template>
  <TotalTime>9</TotalTime>
  <Application>LibreOffice/7.3.5.2$Windows_X86_64 LibreOffice_project/184fe81b8c8c30d8b5082578aee2fed2ea847c01</Application>
  <AppVersion>15.0000</AppVersion>
  <Pages>4</Pages>
  <Words>2004</Words>
  <Characters>10320</Characters>
  <CharactersWithSpaces>12161</CharactersWithSpaces>
  <Paragraphs>173</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2024-01-05T17:03:00Z</dcterms:created>
  <dc:creator>V2784160</dc:creator>
  <dc:description/>
  <dc:language>es-MX</dc:language>
  <cp:lastModifiedBy/>
  <cp:lastPrinted>2024-02-06T18:06:00Z</cp:lastPrinted>
  <dcterms:modified xsi:type="dcterms:W3CDTF">2024-08-14T16:45:21Z</dcterms:modified>
  <cp:revision>40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2d970cdc6f3061e8027046d2a56de73d67659c1cb1dbf96b6c768884dd53b972</vt:lpwstr>
  </property>
  <property fmtid="{D5CDD505-2E9C-101B-9397-08002B2CF9AE}" pid="4" name="MediaServiceImageTags">
    <vt:lpwstr/>
  </property>
</Properties>
</file>