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88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88"/>
      </w:tblGrid>
      <w:tr>
        <w:trPr>
          <w:trHeight w:val="348" w:hRule="atLeast"/>
          <w:cnfStyle w:val="100000000000" w:firstRow="1" w:lastRow="0" w:firstColumn="0" w:lastColumn="0" w:oddVBand="0" w:evenVBand="0" w:oddHBand="0" w:evenHBand="0" w:firstRowFirstColumn="0" w:firstRowLastColumn="0" w:lastRowFirstColumn="0" w:lastRowLastColumn="0"/>
        </w:trPr>
        <w:tc>
          <w:tcPr>
            <w:tcW w:w="988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32"/>
                <w:szCs w:val="24"/>
                <w:lang w:eastAsia="es-ES"/>
              </w:rPr>
            </w:pPr>
            <w:r>
              <w:rPr>
                <w:rFonts w:eastAsia="Times New Roman" w:cs="Arial" w:ascii="Arial" w:hAnsi="Arial"/>
                <w:b/>
                <w:bCs/>
                <w:color w:val="EF782D"/>
                <w:kern w:val="0"/>
                <w:sz w:val="40"/>
                <w:szCs w:val="24"/>
                <w:lang w:eastAsia="es-ES" w:bidi="ar-SA"/>
              </w:rPr>
              <w:t xml:space="preserve">PERÚ INTI RAYMI </w:t>
            </w:r>
            <w:r>
              <w:rPr>
                <w:rFonts w:eastAsia="Times New Roman" w:cs="Arial" w:ascii="Bernard MT Condensed" w:hAnsi="Bernard MT Condensed"/>
                <w:b/>
                <w:bCs/>
                <w:color w:val="FFFFFF"/>
                <w:kern w:val="0"/>
                <w:sz w:val="24"/>
                <w:szCs w:val="24"/>
                <w:shd w:fill="C00000" w:val="clear"/>
                <w:lang w:eastAsia="es-ES" w:bidi="ar-SA"/>
              </w:rPr>
              <w:t xml:space="preserve"> </w:t>
            </w:r>
            <w:r>
              <w:rPr>
                <w:rFonts w:eastAsia="Times New Roman" w:cs="Arial" w:ascii="Arial" w:hAnsi="Arial"/>
                <w:b/>
                <w:bCs/>
                <w:color w:val="EF782D"/>
                <w:kern w:val="0"/>
                <w:sz w:val="40"/>
                <w:szCs w:val="24"/>
                <w:lang w:eastAsia="es-ES" w:bidi="ar-SA"/>
              </w:rPr>
              <w:t xml:space="preserve"> </w:t>
            </w:r>
          </w:p>
        </w:tc>
      </w:tr>
    </w:tbl>
    <w:p>
      <w:pPr>
        <w:pStyle w:val="Normal"/>
        <w:spacing w:lineRule="auto" w:line="240" w:before="0" w:after="0"/>
        <w:jc w:val="both"/>
        <w:rPr>
          <w:sz w:val="2"/>
          <w:szCs w:val="2"/>
        </w:rPr>
      </w:pPr>
      <w:r>
        <w:rPr>
          <w:sz w:val="2"/>
          <w:szCs w:val="2"/>
        </w:rPr>
      </w:r>
    </w:p>
    <w:p>
      <w:pPr>
        <w:pStyle w:val="Normal"/>
        <w:spacing w:lineRule="auto" w:line="240" w:before="0" w:after="0"/>
        <w:jc w:val="both"/>
        <w:rPr>
          <w:rFonts w:ascii="Arial" w:hAnsi="Arial" w:eastAsia="Times New Roman" w:cs="Arial"/>
          <w:color w:val="000000"/>
          <w:sz w:val="14"/>
          <w:lang w:eastAsia="es-ES"/>
        </w:rPr>
      </w:pPr>
      <w:r>
        <w:rPr>
          <w:rFonts w:eastAsia="Times New Roman" w:cs="Arial" w:ascii="Arial" w:hAnsi="Arial"/>
          <w:color w:val="000000"/>
          <w:sz w:val="14"/>
          <w:lang w:eastAsia="es-ES"/>
        </w:rPr>
      </w:r>
    </w:p>
    <w:tbl>
      <w:tblPr>
        <w:tblStyle w:val="Cuadrculamedia1-nfasis6"/>
        <w:tblW w:w="9841" w:type="dxa"/>
        <w:jc w:val="left"/>
        <w:tblInd w:w="108" w:type="dxa"/>
        <w:shd w:fill="FDE4D0" w:val="clear"/>
        <w:tblLayout w:type="fixed"/>
        <w:tblCellMar>
          <w:top w:w="0" w:type="dxa"/>
          <w:left w:w="108" w:type="dxa"/>
          <w:bottom w:w="0" w:type="dxa"/>
          <w:right w:w="108" w:type="dxa"/>
        </w:tblCellMar>
        <w:tblLook w:firstRow="1" w:noVBand="1" w:lastRow="0" w:firstColumn="1" w:lastColumn="0" w:noHBand="0" w:val="04a0"/>
      </w:tblPr>
      <w:tblGrid>
        <w:gridCol w:w="9841"/>
      </w:tblGrid>
      <w:tr>
        <w:trPr>
          <w:trHeight w:val="637" w:hRule="atLeast"/>
          <w:cnfStyle w:val="100000000000" w:firstRow="1" w:lastRow="0" w:firstColumn="0" w:lastColumn="0" w:oddVBand="0" w:evenVBand="0" w:oddHBand="0" w:evenHBand="0" w:firstRowFirstColumn="0" w:firstRowLastColumn="0" w:lastRowFirstColumn="0" w:lastRowLastColumn="0"/>
        </w:trPr>
        <w:tc>
          <w:tcPr>
            <w:tcW w:w="9841"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val="false"/>
              <w:suppressAutoHyphens w:val="true"/>
              <w:spacing w:lineRule="auto" w:line="240" w:before="0" w:after="0"/>
              <w:ind w:left="1410" w:hanging="1410"/>
              <w:jc w:val="both"/>
              <w:rPr>
                <w:rFonts w:ascii="Arial" w:hAnsi="Arial" w:eastAsia="Times New Roman" w:cs="Arial"/>
                <w:color w:val="262626" w:themeColor="text1" w:themeTint="d9"/>
                <w:sz w:val="18"/>
                <w:szCs w:val="18"/>
                <w:lang w:eastAsia="es-ES"/>
              </w:rPr>
            </w:pPr>
            <w:r>
              <w:rPr>
                <w:rFonts w:eastAsia="Times New Roman" w:cs="Arial" w:ascii="Arial" w:hAnsi="Arial"/>
                <w:b/>
                <w:bCs/>
                <w:color w:val="E36C0A" w:themeColor="accent6" w:themeShade="bf"/>
                <w:kern w:val="0"/>
                <w:sz w:val="18"/>
                <w:szCs w:val="18"/>
                <w:lang w:eastAsia="es-ES" w:bidi="ar-SA"/>
              </w:rPr>
              <w:t>Visitando:</w:t>
            </w:r>
            <w:r>
              <w:rPr>
                <w:rFonts w:eastAsia="Times New Roman" w:cs="Arial" w:ascii="Arial" w:hAnsi="Arial"/>
                <w:b/>
                <w:bCs/>
                <w:color w:val="000000"/>
                <w:kern w:val="0"/>
                <w:sz w:val="18"/>
                <w:szCs w:val="18"/>
                <w:lang w:eastAsia="es-ES" w:bidi="ar-SA"/>
              </w:rPr>
              <w:tab/>
            </w:r>
            <w:r>
              <w:rPr>
                <w:rFonts w:eastAsia="Times New Roman" w:cs="Arial" w:ascii="Arial" w:hAnsi="Arial"/>
                <w:b/>
                <w:bCs/>
                <w:color w:val="000000" w:themeColor="text1"/>
                <w:kern w:val="0"/>
                <w:sz w:val="18"/>
                <w:szCs w:val="18"/>
                <w:lang w:eastAsia="es-ES" w:bidi="ar-SA"/>
              </w:rPr>
              <w:t xml:space="preserve">Lima – Cusco – Valle Sagrado – Machu Picchu – Cusco </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Salidas:</w:t>
            </w:r>
            <w:r>
              <w:rPr>
                <w:rFonts w:eastAsia="Times New Roman" w:cs="Arial" w:ascii="Arial" w:hAnsi="Arial"/>
                <w:b/>
                <w:bCs/>
                <w:color w:val="000000"/>
                <w:kern w:val="0"/>
                <w:sz w:val="18"/>
                <w:szCs w:val="18"/>
                <w:lang w:val="es-ES_tradnl" w:eastAsia="es-ES" w:bidi="ar-SA"/>
              </w:rPr>
              <w:tab/>
              <w:t>Única 19 de junio 2025</w:t>
            </w:r>
          </w:p>
          <w:p>
            <w:pPr>
              <w:pStyle w:val="Normal"/>
              <w:widowControl w:val="false"/>
              <w:suppressAutoHyphens w:val="true"/>
              <w:spacing w:lineRule="auto" w:line="240" w:before="0" w:after="0"/>
              <w:ind w:left="1410" w:hanging="1410"/>
              <w:jc w:val="both"/>
              <w:rPr>
                <w:rFonts w:ascii="Arial" w:hAnsi="Arial" w:cs="Arial"/>
                <w:b w:val="false"/>
                <w:b w:val="false"/>
                <w:bCs w:val="false"/>
                <w:color w:val="FF0000"/>
                <w:sz w:val="18"/>
                <w:szCs w:val="18"/>
              </w:rPr>
            </w:pPr>
            <w:r>
              <w:rPr>
                <w:rFonts w:eastAsia="Times New Roman" w:cs="Arial" w:ascii="Arial" w:hAnsi="Arial"/>
                <w:b/>
                <w:bCs/>
                <w:color w:val="E36C0A" w:themeColor="accent6" w:themeShade="bf"/>
                <w:kern w:val="0"/>
                <w:sz w:val="18"/>
                <w:szCs w:val="18"/>
                <w:lang w:val="es-ES_tradnl" w:eastAsia="es-ES" w:bidi="ar-SA"/>
              </w:rPr>
              <w:t xml:space="preserve">                            </w:t>
            </w:r>
            <w:r>
              <w:rPr>
                <w:rFonts w:eastAsia="Calibri" w:cs="Arial" w:ascii="Arial" w:hAnsi="Arial"/>
                <w:b/>
                <w:bCs/>
                <w:color w:val="FF0000"/>
                <w:kern w:val="0"/>
                <w:sz w:val="18"/>
                <w:szCs w:val="18"/>
                <w:lang w:eastAsia="en-US" w:bidi="ar-SA"/>
              </w:rPr>
              <w:t xml:space="preserve">**Opera mínimo con 2 personas viajando juntas. </w:t>
            </w:r>
          </w:p>
          <w:p>
            <w:pPr>
              <w:pStyle w:val="Normal"/>
              <w:widowControl w:val="false"/>
              <w:suppressAutoHyphens w:val="true"/>
              <w:spacing w:lineRule="auto" w:line="240" w:before="0" w:after="0"/>
              <w:ind w:left="1410" w:hanging="1410"/>
              <w:jc w:val="both"/>
              <w:rPr>
                <w:rFonts w:ascii="Arial" w:hAnsi="Arial" w:cs="Arial"/>
                <w:b w:val="false"/>
                <w:b w:val="false"/>
                <w:bCs w:val="false"/>
                <w:color w:val="FF0000"/>
                <w:sz w:val="18"/>
                <w:szCs w:val="18"/>
              </w:rPr>
            </w:pPr>
            <w:r>
              <w:rPr>
                <w:rFonts w:eastAsia="Calibri" w:cs="Arial" w:ascii="Arial" w:hAnsi="Arial"/>
                <w:b/>
                <w:bCs/>
                <w:color w:val="FF0000"/>
                <w:kern w:val="0"/>
                <w:sz w:val="18"/>
                <w:szCs w:val="18"/>
                <w:lang w:eastAsia="en-US" w:bidi="ar-SA"/>
              </w:rPr>
              <w:t xml:space="preserve">                            </w:t>
            </w:r>
            <w:r>
              <w:rPr>
                <w:rFonts w:eastAsia="Calibri" w:cs="Arial" w:ascii="Arial" w:hAnsi="Arial"/>
                <w:b/>
                <w:bCs/>
                <w:color w:val="FF0000"/>
                <w:kern w:val="0"/>
                <w:sz w:val="18"/>
                <w:szCs w:val="18"/>
                <w:lang w:eastAsia="en-US" w:bidi="ar-SA"/>
              </w:rPr>
              <w:t>*PVS: Tarifa para Pasajero Viajando Solo, consultar suplementos.</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Duración:</w:t>
            </w:r>
            <w:r>
              <w:rPr>
                <w:rFonts w:eastAsia="Times New Roman" w:cs="Arial" w:ascii="Arial" w:hAnsi="Arial"/>
                <w:b/>
                <w:bCs/>
                <w:color w:val="000000"/>
                <w:kern w:val="0"/>
                <w:sz w:val="18"/>
                <w:szCs w:val="18"/>
                <w:lang w:val="es-ES_tradnl" w:eastAsia="es-ES" w:bidi="ar-SA"/>
              </w:rPr>
              <w:tab/>
              <w:t>07 días / 06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 xml:space="preserve">Alimentos:         </w:t>
            </w:r>
            <w:r>
              <w:rPr>
                <w:rFonts w:eastAsia="Times New Roman" w:cs="Arial" w:ascii="Arial" w:hAnsi="Arial"/>
                <w:b/>
                <w:bCs/>
                <w:color w:val="000000" w:themeColor="text1"/>
                <w:kern w:val="0"/>
                <w:sz w:val="18"/>
                <w:szCs w:val="18"/>
                <w:lang w:val="es-ES_tradnl" w:eastAsia="es-ES" w:bidi="ar-SA"/>
              </w:rPr>
              <w:t>0</w:t>
            </w:r>
            <w:r>
              <w:rPr>
                <w:rFonts w:eastAsia="Times New Roman" w:cs="Arial" w:ascii="Arial" w:hAnsi="Arial"/>
                <w:b/>
                <w:bCs/>
                <w:kern w:val="0"/>
                <w:sz w:val="18"/>
                <w:szCs w:val="18"/>
                <w:lang w:val="es-ES_tradnl" w:eastAsia="es-ES" w:bidi="ar-SA"/>
              </w:rPr>
              <w:t>6 desayunos y 02 almuerzos</w:t>
            </w:r>
          </w:p>
        </w:tc>
      </w:tr>
    </w:tbl>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drawing>
          <wp:anchor behindDoc="0" distT="0" distB="0" distL="0" distR="0" simplePos="0" locked="0" layoutInCell="0" allowOverlap="1" relativeHeight="10">
            <wp:simplePos x="0" y="0"/>
            <wp:positionH relativeFrom="column">
              <wp:posOffset>-441325</wp:posOffset>
            </wp:positionH>
            <wp:positionV relativeFrom="paragraph">
              <wp:posOffset>60325</wp:posOffset>
            </wp:positionV>
            <wp:extent cx="2271395" cy="1959610"/>
            <wp:effectExtent l="0" t="0" r="0" b="0"/>
            <wp:wrapSquare wrapText="righ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2271395" cy="1959610"/>
                    </a:xfrm>
                    <a:prstGeom prst="rect">
                      <a:avLst/>
                    </a:prstGeom>
                  </pic:spPr>
                </pic:pic>
              </a:graphicData>
            </a:graphic>
          </wp:anchor>
        </w:drawing>
        <w:drawing>
          <wp:anchor behindDoc="0" distT="0" distB="0" distL="0" distR="0" simplePos="0" locked="0" layoutInCell="0" allowOverlap="1" relativeHeight="11">
            <wp:simplePos x="0" y="0"/>
            <wp:positionH relativeFrom="column">
              <wp:posOffset>4368165</wp:posOffset>
            </wp:positionH>
            <wp:positionV relativeFrom="paragraph">
              <wp:posOffset>52070</wp:posOffset>
            </wp:positionV>
            <wp:extent cx="2428875" cy="1955800"/>
            <wp:effectExtent l="0" t="0" r="0" b="0"/>
            <wp:wrapSquare wrapText="largest"/>
            <wp:docPr id="2"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descr=""/>
                    <pic:cNvPicPr>
                      <a:picLocks noChangeAspect="1" noChangeArrowheads="1"/>
                    </pic:cNvPicPr>
                  </pic:nvPicPr>
                  <pic:blipFill>
                    <a:blip r:embed="rId3"/>
                    <a:stretch>
                      <a:fillRect/>
                    </a:stretch>
                  </pic:blipFill>
                  <pic:spPr bwMode="auto">
                    <a:xfrm>
                      <a:off x="0" y="0"/>
                      <a:ext cx="2428875" cy="1955800"/>
                    </a:xfrm>
                    <a:prstGeom prst="rect">
                      <a:avLst/>
                    </a:prstGeom>
                  </pic:spPr>
                </pic:pic>
              </a:graphicData>
            </a:graphic>
          </wp:anchor>
        </w:drawing>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drawing>
          <wp:anchor behindDoc="0" distT="0" distB="0" distL="0" distR="0" simplePos="0" locked="0" layoutInCell="0" allowOverlap="1" relativeHeight="12">
            <wp:simplePos x="0" y="0"/>
            <wp:positionH relativeFrom="column">
              <wp:posOffset>1967230</wp:posOffset>
            </wp:positionH>
            <wp:positionV relativeFrom="paragraph">
              <wp:posOffset>3810</wp:posOffset>
            </wp:positionV>
            <wp:extent cx="2263140" cy="1861185"/>
            <wp:effectExtent l="0" t="0" r="0" b="0"/>
            <wp:wrapSquare wrapText="largest"/>
            <wp:docPr id="3"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descr=""/>
                    <pic:cNvPicPr>
                      <a:picLocks noChangeAspect="1" noChangeArrowheads="1"/>
                    </pic:cNvPicPr>
                  </pic:nvPicPr>
                  <pic:blipFill>
                    <a:blip r:embed="rId4"/>
                    <a:stretch>
                      <a:fillRect/>
                    </a:stretch>
                  </pic:blipFill>
                  <pic:spPr bwMode="auto">
                    <a:xfrm>
                      <a:off x="0" y="0"/>
                      <a:ext cx="2263140" cy="1861185"/>
                    </a:xfrm>
                    <a:prstGeom prst="rect">
                      <a:avLst/>
                    </a:prstGeom>
                  </pic:spPr>
                </pic:pic>
              </a:graphicData>
            </a:graphic>
          </wp:anchor>
        </w:drawing>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19 de junio Lima </w:t>
      </w:r>
    </w:p>
    <w:p>
      <w:pPr>
        <w:pStyle w:val="Normal"/>
        <w:spacing w:lineRule="auto" w:line="240" w:before="0" w:after="0"/>
        <w:jc w:val="both"/>
        <w:rPr>
          <w:rFonts w:ascii="Arial" w:hAnsi="Arial" w:cs="Arial"/>
          <w:sz w:val="18"/>
          <w:szCs w:val="18"/>
        </w:rPr>
      </w:pPr>
      <w:r>
        <w:rPr>
          <w:rFonts w:cs="Arial" w:ascii="Arial" w:hAnsi="Arial"/>
          <w:sz w:val="18"/>
          <w:szCs w:val="18"/>
        </w:rPr>
        <w:t>Llegada a la ciudad de Lima, asistencia y traslado al hotel. Alojamiento en Lima.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20 de junio: Lima – Visita de Ciudad </w:t>
      </w:r>
    </w:p>
    <w:p>
      <w:pPr>
        <w:pStyle w:val="NoSpacing"/>
        <w:jc w:val="both"/>
        <w:rPr>
          <w:rFonts w:ascii="Arial" w:hAnsi="Arial" w:cs="Arial"/>
          <w:color w:val="000000" w:themeColor="text1"/>
          <w:sz w:val="18"/>
          <w:szCs w:val="18"/>
          <w:lang w:val="es-ES"/>
        </w:rPr>
      </w:pPr>
      <w:r>
        <w:rPr>
          <w:rFonts w:cs="Arial" w:ascii="Arial" w:hAnsi="Arial"/>
          <w:b/>
          <w:i/>
          <w:color w:val="000000" w:themeColor="text1"/>
          <w:sz w:val="18"/>
          <w:szCs w:val="18"/>
          <w:u w:val="single"/>
        </w:rPr>
        <w:t>Desayuno.</w:t>
      </w:r>
      <w:r>
        <w:rPr>
          <w:rFonts w:cs="Arial" w:ascii="Arial" w:hAnsi="Arial"/>
          <w:color w:val="000000" w:themeColor="text1"/>
          <w:sz w:val="18"/>
          <w:szCs w:val="18"/>
        </w:rPr>
        <w:t xml:space="preserve"> Embárquese en un fascinante recorrido por los lugares más destacados de Lima y déjese cautivar por su encanto y riqueza cultural. Comenzará con una vista panorámica de la Huaca Pucllana, un majestuoso centro ceremonial y arqueológico construido en el siglo IV d.C. A continuación, visitaremos Lima Colonial explorando su histórico centro, donde podrá admirar la Plaza Mayor, el Palacio de Gobierno, el Palacio Municipal y la imponente Catedral de Lima. Finalmente, visitaremos el convento de Santo Domingo que es un destacado ejemplo de la arquitectura colonial en Lima, Perú. Fundada en el siglo XVI por la orden de los Dominicos, esta iglesia se distingue por su elegante fachada barroca y su interior ricamente decorado. La iglesia también alberga el convento adjunto, que cuenta con una biblioteca histórica y un claustro impresionante. Es conocida por su vinculación con figuras prominentes de la historia peruana, como Santa Rosa de Lima y San Martín de Porres, cuyos restos descansan en el convento.</w:t>
      </w:r>
      <w:r>
        <w:rPr>
          <w:rFonts w:cs="Arial" w:ascii="Arial" w:hAnsi="Arial"/>
          <w:color w:val="000000" w:themeColor="text1"/>
          <w:sz w:val="18"/>
          <w:szCs w:val="18"/>
          <w:lang w:val="es-ES"/>
        </w:rPr>
        <w:t xml:space="preserve"> Alojamiento en Lima.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21 de junio: Lima – Cusco – Parque Arqueológico </w:t>
      </w:r>
    </w:p>
    <w:p>
      <w:pPr>
        <w:pStyle w:val="NoSpacing"/>
        <w:jc w:val="both"/>
        <w:rPr>
          <w:rFonts w:ascii="Arial" w:hAnsi="Arial" w:cs="Arial"/>
          <w:color w:val="000000" w:themeColor="text1"/>
          <w:sz w:val="18"/>
          <w:szCs w:val="18"/>
          <w:lang w:val="es-ES"/>
        </w:rPr>
      </w:pPr>
      <w:r>
        <w:rPr>
          <w:rFonts w:cs="Arial" w:ascii="Arial" w:hAnsi="Arial"/>
          <w:b/>
          <w:i/>
          <w:color w:val="000000" w:themeColor="text1"/>
          <w:sz w:val="18"/>
          <w:szCs w:val="18"/>
          <w:u w:val="single"/>
        </w:rPr>
        <w:t>Desayuno.</w:t>
      </w:r>
      <w:r>
        <w:rPr>
          <w:rFonts w:cs="Arial" w:ascii="Arial" w:hAnsi="Arial"/>
          <w:color w:val="000000" w:themeColor="text1"/>
          <w:sz w:val="18"/>
          <w:szCs w:val="18"/>
        </w:rPr>
        <w:t xml:space="preserve"> </w:t>
      </w:r>
      <w:r>
        <w:rPr>
          <w:rFonts w:cs="Arial" w:ascii="Arial" w:hAnsi="Arial"/>
          <w:color w:val="000000" w:themeColor="text1"/>
          <w:sz w:val="18"/>
          <w:szCs w:val="18"/>
          <w:lang w:val="es-ES"/>
        </w:rPr>
        <w:t>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Koricancha o Templo del Sol, antiguo lugar de adoración al Dios sol de los Incas y sobre el cual se levantó el actual Convento de Santo Domingo; contemple la belleza de la Plaza de Armas de Cusco y admire las más representativas muestras escultóricas y pictóricas del arte cusqueño en su imponente catedral. Posteriormente recorra los alrededores de la ciudad, admire la fortaleza de Sacsayhuamán y lo asombroso de sus muros compuestos por enormes piedras ensambladas con gran precisión, conozca el adoratorio de Kenko, el atalaya de Puka Pukara y finalmente Tambomachay, antiguo recinto inca de culto al agua. Alojamiento en Cusco.</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kern w:val="2"/>
          <w:sz w:val="18"/>
          <w:szCs w:val="18"/>
          <w:lang w:val="es-ES_tradnl" w:eastAsia="es-ES"/>
        </w:rPr>
      </w:r>
    </w:p>
    <w:p>
      <w:pPr>
        <w:pStyle w:val="NoSpacing"/>
        <w:jc w:val="both"/>
        <w:rPr>
          <w:rFonts w:ascii="Arial" w:hAnsi="Arial" w:cs="Arial"/>
          <w:i/>
          <w:i/>
          <w:iCs/>
          <w:color w:val="404040" w:themeColor="text1" w:themeTint="bf"/>
          <w:sz w:val="18"/>
          <w:szCs w:val="18"/>
          <w:lang w:val="es-ES" w:eastAsia="es-ES"/>
        </w:rPr>
      </w:pPr>
      <w:r>
        <w:rPr>
          <w:rFonts w:cs="Arial" w:ascii="Arial" w:hAnsi="Arial"/>
          <w:i/>
          <w:iCs/>
          <w:color w:val="404040" w:themeColor="text1" w:themeTint="bf"/>
          <w:sz w:val="18"/>
          <w:szCs w:val="18"/>
          <w:lang w:val="es-ES" w:eastAsia="es-ES"/>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t xml:space="preserve">Día 22 de junio: Cusco – Valle Sagrado – Cusco </w:t>
      </w:r>
    </w:p>
    <w:p>
      <w:pPr>
        <w:pStyle w:val="NoSpacing"/>
        <w:jc w:val="both"/>
        <w:rPr>
          <w:rFonts w:ascii="Arial" w:hAnsi="Arial" w:cs="Arial"/>
          <w:color w:val="000000" w:themeColor="text1"/>
          <w:sz w:val="18"/>
          <w:szCs w:val="18"/>
          <w:lang w:val="es-ES"/>
        </w:rPr>
      </w:pPr>
      <w:r>
        <w:rPr>
          <w:rFonts w:eastAsia="Batang" w:cs="Arial" w:ascii="Arial" w:hAnsi="Arial"/>
          <w:b/>
          <w:i/>
          <w:color w:val="000000" w:themeColor="text1"/>
          <w:kern w:val="2"/>
          <w:sz w:val="18"/>
          <w:szCs w:val="18"/>
          <w:u w:val="single"/>
          <w:lang w:val="es-ES_tradnl" w:eastAsia="es-ES"/>
        </w:rPr>
        <w:t>Desayuno.</w:t>
      </w:r>
      <w:r>
        <w:rPr>
          <w:rFonts w:eastAsia="Batang" w:cs="Arial" w:ascii="Arial" w:hAnsi="Arial"/>
          <w:color w:val="000000" w:themeColor="text1"/>
          <w:kern w:val="2"/>
          <w:sz w:val="18"/>
          <w:szCs w:val="18"/>
          <w:lang w:val="es-ES_tradnl" w:eastAsia="es-ES"/>
        </w:rPr>
        <w:t xml:space="preserve"> </w:t>
      </w:r>
      <w:r>
        <w:rPr>
          <w:rFonts w:cs="Arial" w:ascii="Arial" w:hAnsi="Arial"/>
          <w:color w:val="000000" w:themeColor="text1"/>
          <w:sz w:val="18"/>
          <w:szCs w:val="18"/>
          <w:lang w:val="es-ES"/>
        </w:rPr>
        <w:t xml:space="preserve">Conozca el Valle Sagrado de los Incas. Un pintoresco recorrido en el que podrá apreciar importantes restos arqueológicos, paisajes y costumbres. Visite el Awanacancha, centro de difusión de la textilería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Pr>
          <w:rFonts w:cs="Arial" w:ascii="Arial" w:hAnsi="Arial"/>
          <w:b/>
          <w:bCs/>
          <w:i/>
          <w:iCs/>
          <w:color w:val="000000" w:themeColor="text1"/>
          <w:sz w:val="18"/>
          <w:szCs w:val="18"/>
          <w:u w:val="single"/>
          <w:lang w:val="es-ES"/>
        </w:rPr>
        <w:t>almuerzo</w:t>
      </w:r>
      <w:r>
        <w:rPr>
          <w:rFonts w:cs="Arial" w:ascii="Arial" w:hAnsi="Arial"/>
          <w:color w:val="000000" w:themeColor="text1"/>
          <w:sz w:val="18"/>
          <w:szCs w:val="18"/>
          <w:lang w:val="es-ES"/>
        </w:rPr>
        <w:t xml:space="preserve"> en un restaurante local. Por la tarde continúe su recorrido para visitar la Fortaleza de Ollantaytambo, camine por sus típicas calles y ascienda a los más alto de la fortaleza para admirar la belleza del paisaje circundante. Alojamiento en Cusco.</w:t>
      </w:r>
    </w:p>
    <w:p>
      <w:pPr>
        <w:pStyle w:val="NoSpacing"/>
        <w:jc w:val="both"/>
        <w:rPr>
          <w:rFonts w:ascii="Arial" w:hAnsi="Arial" w:cs="Arial"/>
          <w:color w:val="000000" w:themeColor="text1"/>
          <w:sz w:val="18"/>
          <w:szCs w:val="18"/>
          <w:lang w:val="es-ES"/>
        </w:rPr>
      </w:pPr>
      <w:r>
        <w:rPr>
          <w:rFonts w:cs="Arial" w:ascii="Arial" w:hAnsi="Arial"/>
          <w:color w:val="000000" w:themeColor="text1"/>
          <w:sz w:val="18"/>
          <w:szCs w:val="18"/>
          <w:lang w:val="es-ES"/>
        </w:rPr>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t xml:space="preserve">Día 23 de junio: Cusco – Machu Picchu – Cusco </w:t>
      </w:r>
    </w:p>
    <w:p>
      <w:pPr>
        <w:pStyle w:val="NoSpacing"/>
        <w:jc w:val="both"/>
        <w:rPr>
          <w:rFonts w:ascii="Arial" w:hAnsi="Arial" w:cs="Arial"/>
          <w:color w:val="000000" w:themeColor="text1"/>
          <w:sz w:val="18"/>
          <w:szCs w:val="18"/>
          <w:lang w:val="es-ES"/>
        </w:rPr>
      </w:pPr>
      <w:bookmarkStart w:id="0" w:name="_Hlk480376772"/>
      <w:r>
        <w:rPr>
          <w:rFonts w:cs="Arial" w:ascii="Arial" w:hAnsi="Arial"/>
          <w:b/>
          <w:bCs/>
          <w:i/>
          <w:iCs/>
          <w:color w:val="000000" w:themeColor="text1"/>
          <w:sz w:val="18"/>
          <w:szCs w:val="18"/>
          <w:u w:val="single"/>
          <w:lang w:val="es-ES"/>
        </w:rPr>
        <w:t>Desayuno.</w:t>
      </w:r>
      <w:r>
        <w:rPr>
          <w:rFonts w:cs="Arial" w:ascii="Arial" w:hAnsi="Arial"/>
          <w:color w:val="000000" w:themeColor="text1"/>
          <w:sz w:val="18"/>
          <w:szCs w:val="18"/>
          <w:lang w:val="es-ES"/>
        </w:rPr>
        <w:t xml:space="preserve"> 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Experimente la sensación de caminar por los pasadizos y callejuelas de la ciudadela y sea testigo de la grandeza arquitectónica del Imperio Inca y lleve consigo la satisfacción de haber contemplado un lugar incomparable en el mundo; posteriormente descienda nuevamente al poblado de Aguas Calientes para reponer las energías con un agradable </w:t>
      </w:r>
      <w:r>
        <w:rPr>
          <w:rFonts w:cs="Arial" w:ascii="Arial" w:hAnsi="Arial"/>
          <w:b/>
          <w:bCs/>
          <w:i/>
          <w:iCs/>
          <w:color w:val="000000" w:themeColor="text1"/>
          <w:sz w:val="18"/>
          <w:szCs w:val="18"/>
          <w:u w:val="single"/>
          <w:lang w:val="es-ES"/>
        </w:rPr>
        <w:t>almuerzo</w:t>
      </w:r>
      <w:r>
        <w:rPr>
          <w:rFonts w:cs="Arial" w:ascii="Arial" w:hAnsi="Arial"/>
          <w:color w:val="000000" w:themeColor="text1"/>
          <w:sz w:val="18"/>
          <w:szCs w:val="18"/>
          <w:lang w:val="es-ES"/>
        </w:rPr>
        <w:t>. A la hora indicada abordará nuevamente el tren de retorno a Cusco. Traslado de vuelta a su hotel.</w:t>
      </w:r>
      <w:bookmarkEnd w:id="0"/>
      <w:r>
        <w:rPr>
          <w:rFonts w:cs="Arial" w:ascii="Arial" w:hAnsi="Arial"/>
          <w:color w:val="000000" w:themeColor="text1"/>
          <w:sz w:val="18"/>
          <w:szCs w:val="18"/>
          <w:lang w:val="es-ES"/>
        </w:rPr>
        <w:t xml:space="preserve"> Alojamiento en Cusco.</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kern w:val="2"/>
          <w:sz w:val="18"/>
          <w:szCs w:val="18"/>
          <w:lang w:val="es-ES_tradnl" w:eastAsia="es-ES"/>
        </w:rPr>
        <w:drawing>
          <wp:anchor behindDoc="0" distT="0" distB="0" distL="114300" distR="114300" simplePos="0" locked="0" layoutInCell="0" allowOverlap="1" relativeHeight="13">
            <wp:simplePos x="0" y="0"/>
            <wp:positionH relativeFrom="column">
              <wp:posOffset>4540885</wp:posOffset>
            </wp:positionH>
            <wp:positionV relativeFrom="paragraph">
              <wp:posOffset>116205</wp:posOffset>
            </wp:positionV>
            <wp:extent cx="1838325" cy="2150745"/>
            <wp:effectExtent l="0" t="0" r="0" b="0"/>
            <wp:wrapSquare wrapText="bothSides"/>
            <wp:docPr id="4"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
                    <pic:cNvPicPr>
                      <a:picLocks noChangeAspect="1" noChangeArrowheads="1"/>
                    </pic:cNvPicPr>
                  </pic:nvPicPr>
                  <pic:blipFill>
                    <a:blip r:embed="rId5"/>
                    <a:stretch>
                      <a:fillRect/>
                    </a:stretch>
                  </pic:blipFill>
                  <pic:spPr bwMode="auto">
                    <a:xfrm>
                      <a:off x="0" y="0"/>
                      <a:ext cx="1838325" cy="2150745"/>
                    </a:xfrm>
                    <a:prstGeom prst="rect">
                      <a:avLst/>
                    </a:prstGeom>
                  </pic:spPr>
                </pic:pic>
              </a:graphicData>
            </a:graphic>
          </wp:anchor>
        </w:drawing>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t>Día 24 de junio: Cusco – Inti Raymi (La fiesta del Sol)</w:t>
      </w:r>
    </w:p>
    <w:p>
      <w:pPr>
        <w:pStyle w:val="Normal"/>
        <w:pBdr>
          <w:bottom w:val="single" w:sz="12" w:space="1" w:color="000000"/>
        </w:pBdr>
        <w:spacing w:lineRule="auto" w:line="240" w:before="0" w:after="0"/>
        <w:jc w:val="both"/>
        <w:rPr/>
      </w:pPr>
      <w:r>
        <w:rPr>
          <w:rFonts w:cs="Arial" w:ascii="Arial" w:hAnsi="Arial"/>
          <w:b/>
          <w:bCs/>
          <w:i/>
          <w:iCs/>
          <w:color w:val="404040" w:themeColor="text1" w:themeTint="bf"/>
          <w:sz w:val="18"/>
          <w:szCs w:val="18"/>
          <w:u w:val="single"/>
        </w:rPr>
        <w:t xml:space="preserve">Desayuno: </w:t>
      </w:r>
      <w:r>
        <w:rPr>
          <w:rFonts w:cs="Arial" w:ascii="Arial" w:hAnsi="Arial"/>
          <w:b w:val="false"/>
          <w:bCs w:val="false"/>
          <w:i w:val="false"/>
          <w:iCs w:val="false"/>
          <w:color w:val="000000" w:themeTint="bf"/>
          <w:sz w:val="18"/>
          <w:szCs w:val="18"/>
          <w:u w:val="none"/>
        </w:rPr>
        <w:t>Considerada como la festividad más grande del Imperio Inka, el Inti Raymi se celebra todos los años el 24 de junio, fecha que coincide con el solsticio de invierno, el día más corto y la noche más larga del año.</w:t>
      </w:r>
    </w:p>
    <w:p>
      <w:pPr>
        <w:pStyle w:val="Normal"/>
        <w:pBdr>
          <w:bottom w:val="single" w:sz="12" w:space="1" w:color="000000"/>
        </w:pBdr>
        <w:spacing w:lineRule="auto" w:line="240" w:before="0" w:after="0"/>
        <w:jc w:val="both"/>
        <w:rPr>
          <w:rFonts w:ascii="Arial" w:hAnsi="Arial" w:cs="Arial"/>
          <w:color w:themeColor="text1" w:themeTint="bf"/>
          <w:sz w:val="18"/>
          <w:szCs w:val="18"/>
        </w:rPr>
      </w:pPr>
      <w:r>
        <w:rPr>
          <w:rFonts w:cs="Arial" w:ascii="Arial" w:hAnsi="Arial"/>
          <w:color w:themeColor="text1" w:themeTint="bf"/>
          <w:sz w:val="18"/>
          <w:szCs w:val="18"/>
        </w:rPr>
      </w:r>
    </w:p>
    <w:p>
      <w:pPr>
        <w:pStyle w:val="Normal"/>
        <w:pBdr>
          <w:bottom w:val="single" w:sz="12" w:space="1" w:color="000000"/>
        </w:pBdr>
        <w:spacing w:lineRule="auto" w:line="240" w:before="0" w:after="0"/>
        <w:jc w:val="both"/>
        <w:rPr>
          <w:b w:val="false"/>
          <w:b w:val="false"/>
          <w:bCs w:val="false"/>
          <w:i w:val="false"/>
          <w:i w:val="false"/>
          <w:iCs w:val="false"/>
          <w:color w:val="000000"/>
          <w:u w:val="none"/>
        </w:rPr>
      </w:pPr>
      <w:r>
        <w:rPr>
          <w:rFonts w:cs="Arial" w:ascii="Arial" w:hAnsi="Arial"/>
          <w:b w:val="false"/>
          <w:bCs w:val="false"/>
          <w:i w:val="false"/>
          <w:iCs w:val="false"/>
          <w:color w:val="000000" w:themeTint="bf"/>
          <w:sz w:val="18"/>
          <w:szCs w:val="18"/>
          <w:u w:val="none"/>
        </w:rPr>
        <w:t>Durante las actividades, son más de 800 artistas que, usando prendas típicas, llevan a cabo diversas presentaciones como danzas y actuaciones que tienen como escenarios principales al templo de Qorikancha y el parque arqueológico de Sacsayhuamán, y la Plaza de Armas de Cusco.</w:t>
      </w:r>
    </w:p>
    <w:p>
      <w:pPr>
        <w:pStyle w:val="Normal"/>
        <w:pBdr>
          <w:bottom w:val="single" w:sz="12" w:space="1" w:color="000000"/>
        </w:pBdr>
        <w:spacing w:lineRule="auto" w:line="240" w:before="0" w:after="0"/>
        <w:jc w:val="both"/>
        <w:rPr>
          <w:b w:val="false"/>
          <w:b w:val="false"/>
          <w:bCs w:val="false"/>
          <w:i/>
          <w:i/>
          <w:iCs/>
          <w:color w:val="999999"/>
          <w:u w:val="none"/>
        </w:rPr>
      </w:pPr>
      <w:r>
        <w:rPr>
          <w:rFonts w:cs="Arial" w:ascii="Arial" w:hAnsi="Arial"/>
          <w:b w:val="false"/>
          <w:bCs w:val="false"/>
          <w:i/>
          <w:iCs/>
          <w:color w:val="999999" w:themeTint="bf"/>
          <w:sz w:val="18"/>
          <w:szCs w:val="18"/>
          <w:u w:val="none"/>
        </w:rPr>
        <w:t xml:space="preserve">Nota: el boleto esta considerado en la sección verde , si se agota esta sección se le comunicara el valor del suplemento de las demás secciones  o en caso de querer cambiar de sección consultar suplemento </w:t>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t>Día 25 de junio: Cusco</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b/>
          <w:i/>
          <w:kern w:val="2"/>
          <w:sz w:val="18"/>
          <w:szCs w:val="18"/>
          <w:u w:val="single"/>
          <w:lang w:val="es-ES_tradnl" w:eastAsia="es-ES"/>
        </w:rPr>
        <w:t>Desayuno.</w:t>
      </w:r>
      <w:r>
        <w:rPr>
          <w:rFonts w:eastAsia="Batang" w:cs="Arial" w:ascii="Arial" w:hAnsi="Arial"/>
          <w:kern w:val="2"/>
          <w:sz w:val="18"/>
          <w:szCs w:val="18"/>
          <w:lang w:val="es-ES_tradnl" w:eastAsia="es-ES"/>
        </w:rPr>
        <w:t xml:space="preserve"> A la hora coordinada traslado al aeropuerto para abordar su vuelo de salida.</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Spacing"/>
        <w:ind w:left="4956" w:hanging="0"/>
        <w:jc w:val="both"/>
        <w:rPr>
          <w:rFonts w:ascii="Arial" w:hAnsi="Arial" w:cs="Arial"/>
          <w:b/>
          <w:b/>
          <w:color w:val="E36C0A" w:themeColor="accent6" w:themeShade="bf"/>
          <w:sz w:val="18"/>
          <w:szCs w:val="18"/>
          <w:lang w:val="es-ES_tradnl" w:eastAsia="es-ES"/>
        </w:rPr>
      </w:pPr>
      <w:r>
        <w:rPr>
          <w:rFonts w:cs="Arial" w:ascii="Arial" w:hAnsi="Arial"/>
          <w:b/>
          <w:color w:val="E36C0A" w:themeColor="accent6" w:themeShade="bf"/>
          <w:sz w:val="18"/>
          <w:szCs w:val="18"/>
          <w:lang w:val="es-ES_tradnl" w:eastAsia="es-ES"/>
        </w:rPr>
        <w:t xml:space="preserve">                                       </w:t>
      </w:r>
      <w:r>
        <w:rPr>
          <w:rFonts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PE" w:eastAsia="es-ES"/>
        </w:rPr>
      </w:pPr>
      <w:r>
        <w:rPr>
          <w:rFonts w:eastAsia="Times New Roman" w:cs="Arial" w:ascii="Arial" w:hAnsi="Arial"/>
          <w:b/>
          <w:color w:val="E36C0A" w:themeColor="accent6" w:themeShade="bf"/>
          <w:sz w:val="18"/>
          <w:szCs w:val="18"/>
          <w:u w:val="single"/>
          <w:lang w:val="es-PE"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000000"/>
          <w:sz w:val="18"/>
          <w:szCs w:val="18"/>
          <w:u w:val="single"/>
          <w:lang w:val="es-ES_tradnl" w:eastAsia="es-ES"/>
        </w:rPr>
      </w:pPr>
      <w:r>
        <w:rPr>
          <w:rFonts w:eastAsia="Times New Roman" w:cs="Arial" w:ascii="Arial" w:hAnsi="Arial"/>
          <w:b/>
          <w:color w:val="000000"/>
          <w:sz w:val="18"/>
          <w:szCs w:val="18"/>
          <w:u w:val="single"/>
          <w:lang w:val="es-ES_tradnl" w:eastAsia="es-ES"/>
        </w:rPr>
      </w:r>
    </w:p>
    <w:tbl>
      <w:tblPr>
        <w:tblW w:w="7937" w:type="dxa"/>
        <w:jc w:val="left"/>
        <w:tblInd w:w="900" w:type="dxa"/>
        <w:tblLayout w:type="fixed"/>
        <w:tblCellMar>
          <w:top w:w="0" w:type="dxa"/>
          <w:left w:w="70" w:type="dxa"/>
          <w:bottom w:w="0" w:type="dxa"/>
          <w:right w:w="70" w:type="dxa"/>
        </w:tblCellMar>
        <w:tblLook w:firstRow="1" w:noVBand="1" w:lastRow="0" w:firstColumn="1" w:lastColumn="0" w:noHBand="0" w:val="04a0"/>
      </w:tblPr>
      <w:tblGrid>
        <w:gridCol w:w="1361"/>
        <w:gridCol w:w="3404"/>
        <w:gridCol w:w="3172"/>
      </w:tblGrid>
      <w:tr>
        <w:trPr>
          <w:trHeight w:val="340" w:hRule="atLeast"/>
        </w:trPr>
        <w:tc>
          <w:tcPr>
            <w:tcW w:w="1361"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340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3172"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r>
      <w:tr>
        <w:trPr>
          <w:trHeight w:val="340" w:hRule="atLeast"/>
        </w:trPr>
        <w:tc>
          <w:tcPr>
            <w:tcW w:w="1361"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340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Los Tambo (I y II )</w:t>
              <w:br/>
              <w:t xml:space="preserve"> - Habitat Miraflores</w:t>
              <w:br/>
              <w:t xml:space="preserve"> - Britania Crystal</w:t>
            </w:r>
          </w:p>
        </w:tc>
        <w:tc>
          <w:tcPr>
            <w:tcW w:w="31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Hacienda Plaza Regocijo</w:t>
              <w:br/>
              <w:t xml:space="preserve"> - Inkarri Regocijo</w:t>
              <w:br/>
              <w:t xml:space="preserve"> - Sueños del Inka</w:t>
            </w:r>
          </w:p>
        </w:tc>
      </w:tr>
      <w:tr>
        <w:trPr>
          <w:trHeight w:val="340" w:hRule="atLeast"/>
        </w:trPr>
        <w:tc>
          <w:tcPr>
            <w:tcW w:w="1361"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340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Tierra Viva Miraflores Centro</w:t>
              <w:br/>
              <w:t xml:space="preserve"> - Casa Andina Select Miraflores</w:t>
              <w:br/>
              <w:t xml:space="preserve"> - Tierra Viva Larco</w:t>
            </w:r>
          </w:p>
        </w:tc>
        <w:tc>
          <w:tcPr>
            <w:tcW w:w="31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Terra Andina</w:t>
              <w:br/>
              <w:t xml:space="preserve"> - Tierra Viva Cusco Centro</w:t>
              <w:br/>
              <w:t xml:space="preserve"> - Tierra Viva Saphi</w:t>
            </w:r>
          </w:p>
        </w:tc>
      </w:tr>
    </w:tbl>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r>
    </w:p>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r>
    </w:p>
    <w:p>
      <w:pPr>
        <w:pStyle w:val="Normal"/>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DOLARES AMERICANOS (USD):  </w:t>
      </w:r>
    </w:p>
    <w:tbl>
      <w:tblPr>
        <w:tblW w:w="949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58"/>
        <w:gridCol w:w="1405"/>
        <w:gridCol w:w="1349"/>
        <w:gridCol w:w="1352"/>
        <w:gridCol w:w="1351"/>
        <w:gridCol w:w="1304"/>
        <w:gridCol w:w="1273"/>
      </w:tblGrid>
      <w:tr>
        <w:trPr>
          <w:trHeight w:val="480" w:hRule="atLeast"/>
        </w:trPr>
        <w:tc>
          <w:tcPr>
            <w:tcW w:w="1458"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 UNICA</w:t>
            </w:r>
          </w:p>
        </w:tc>
        <w:tc>
          <w:tcPr>
            <w:tcW w:w="1405"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34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352"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51"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304"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03 -10 AÑOS</w:t>
            </w:r>
          </w:p>
        </w:tc>
        <w:tc>
          <w:tcPr>
            <w:tcW w:w="1273"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15" w:hRule="atLeast"/>
        </w:trPr>
        <w:tc>
          <w:tcPr>
            <w:tcW w:w="1458" w:type="dxa"/>
            <w:vMerge w:val="restart"/>
            <w:tcBorders>
              <w:top w:val="single" w:sz="4" w:space="0" w:color="C65911"/>
              <w:left w:val="single" w:sz="4" w:space="0" w:color="C65911"/>
              <w:bottom w:val="single" w:sz="4" w:space="0" w:color="C65911"/>
              <w:right w:val="single" w:sz="4" w:space="0" w:color="C65911"/>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19 de junio 2025 </w:t>
            </w:r>
          </w:p>
        </w:tc>
        <w:tc>
          <w:tcPr>
            <w:tcW w:w="1405" w:type="dxa"/>
            <w:tcBorders>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Turista </w:t>
            </w:r>
          </w:p>
        </w:tc>
        <w:tc>
          <w:tcPr>
            <w:tcW w:w="134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1,616</w:t>
            </w:r>
          </w:p>
        </w:tc>
        <w:tc>
          <w:tcPr>
            <w:tcW w:w="135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1,345</w:t>
            </w:r>
          </w:p>
        </w:tc>
        <w:tc>
          <w:tcPr>
            <w:tcW w:w="135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1,283</w:t>
            </w:r>
          </w:p>
        </w:tc>
        <w:tc>
          <w:tcPr>
            <w:tcW w:w="130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1,015</w:t>
            </w:r>
          </w:p>
        </w:tc>
        <w:tc>
          <w:tcPr>
            <w:tcW w:w="127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1,793</w:t>
            </w:r>
          </w:p>
        </w:tc>
      </w:tr>
      <w:tr>
        <w:trPr>
          <w:trHeight w:val="315" w:hRule="atLeast"/>
        </w:trPr>
        <w:tc>
          <w:tcPr>
            <w:tcW w:w="1458" w:type="dxa"/>
            <w:vMerge w:val="continue"/>
            <w:tcBorders>
              <w:top w:val="single" w:sz="4" w:space="0" w:color="C65911"/>
              <w:left w:val="single" w:sz="4" w:space="0" w:color="C65911"/>
              <w:bottom w:val="single" w:sz="4" w:space="0" w:color="C65911"/>
              <w:right w:val="single" w:sz="4" w:space="0" w:color="C65911"/>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405" w:type="dxa"/>
            <w:tcBorders>
              <w:bottom w:val="single" w:sz="4" w:space="0" w:color="DE6F00"/>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Turista Superior </w:t>
            </w:r>
          </w:p>
        </w:tc>
        <w:tc>
          <w:tcPr>
            <w:tcW w:w="134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1,726</w:t>
            </w:r>
          </w:p>
        </w:tc>
        <w:tc>
          <w:tcPr>
            <w:tcW w:w="135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1,39</w:t>
            </w:r>
            <w:r>
              <w:rPr>
                <w:rFonts w:eastAsia="Times New Roman" w:cs="Arial" w:ascii="Arial" w:hAnsi="Arial"/>
                <w:color w:val="000000"/>
                <w:sz w:val="18"/>
                <w:szCs w:val="18"/>
                <w:lang w:eastAsia="es-ES"/>
              </w:rPr>
              <w:t>5</w:t>
            </w:r>
          </w:p>
        </w:tc>
        <w:tc>
          <w:tcPr>
            <w:tcW w:w="135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w:t>
            </w:r>
            <w:r>
              <w:rPr>
                <w:rFonts w:eastAsia="Times New Roman" w:cs="Arial" w:ascii="Arial" w:hAnsi="Arial"/>
                <w:color w:val="000000"/>
                <w:sz w:val="18"/>
                <w:szCs w:val="18"/>
                <w:lang w:eastAsia="es-ES"/>
              </w:rPr>
              <w:t>23</w:t>
            </w:r>
          </w:p>
        </w:tc>
        <w:tc>
          <w:tcPr>
            <w:tcW w:w="130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w:t>
            </w:r>
            <w:r>
              <w:rPr>
                <w:rFonts w:eastAsia="Times New Roman" w:cs="Arial" w:ascii="Arial" w:hAnsi="Arial"/>
                <w:color w:val="000000"/>
                <w:sz w:val="18"/>
                <w:szCs w:val="18"/>
                <w:lang w:eastAsia="es-ES"/>
              </w:rPr>
              <w:t>55</w:t>
            </w:r>
          </w:p>
        </w:tc>
        <w:tc>
          <w:tcPr>
            <w:tcW w:w="127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1,902</w:t>
            </w:r>
          </w:p>
        </w:tc>
      </w:tr>
    </w:tbl>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000000" w:themeColor="text1"/>
          <w:sz w:val="18"/>
          <w:szCs w:val="18"/>
          <w:lang w:val="es-ES_tradnl" w:eastAsia="es-ES"/>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FF0000"/>
          <w:sz w:val="18"/>
          <w:szCs w:val="18"/>
          <w:lang w:val="es-ES_tradnl" w:eastAsia="es-ES"/>
        </w:rPr>
        <w:t xml:space="preserve">*PVS = </w:t>
      </w:r>
      <w:r>
        <w:rPr>
          <w:rFonts w:eastAsia="Times New Roman" w:cs="Arial" w:ascii="Arial" w:hAnsi="Arial"/>
          <w:b/>
          <w:i/>
          <w:iCs/>
          <w:color w:val="FF0000"/>
          <w:sz w:val="18"/>
          <w:szCs w:val="18"/>
          <w:u w:val="single"/>
          <w:lang w:val="es-ES_tradnl" w:eastAsia="es-ES"/>
        </w:rPr>
        <w:t>Tarifa para Pasajero Viajando Solo</w:t>
      </w:r>
      <w:r>
        <w:rPr>
          <w:rFonts w:eastAsia="Times New Roman" w:cs="Arial" w:ascii="Arial" w:hAnsi="Arial"/>
          <w:b/>
          <w:i/>
          <w:iCs/>
          <w:color w:val="000000" w:themeColor="text1"/>
          <w:sz w:val="18"/>
          <w:szCs w:val="18"/>
          <w:lang w:val="es-ES_tradnl" w:eastAsia="es-ES"/>
        </w:rPr>
        <w:t>, los servicios de tour y traslados continúan siendo en servicio regular.</w:t>
      </w:r>
    </w:p>
    <w:p>
      <w:pPr>
        <w:pStyle w:val="Normal"/>
        <w:spacing w:lineRule="auto" w:line="240" w:before="0" w:after="0"/>
        <w:jc w:val="both"/>
        <w:rPr>
          <w:rFonts w:ascii="Arial" w:hAnsi="Arial" w:eastAsia="Times New Roman" w:cs="Arial"/>
          <w:b/>
          <w:b/>
          <w:bCs/>
          <w:i/>
          <w:i/>
          <w:iCs/>
          <w:color w:val="C00000"/>
          <w:sz w:val="18"/>
          <w:szCs w:val="18"/>
          <w:lang w:val="es-ES_tradnl" w:eastAsia="es-ES"/>
        </w:rPr>
      </w:pPr>
      <w:r>
        <w:rPr>
          <w:rFonts w:cs="Arial" w:ascii="Arial" w:hAnsi="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 aeropuerto – hotel – aeropuerto </w:t>
      </w:r>
      <w:r>
        <w:rPr>
          <w:rFonts w:cs="Arial" w:ascii="Arial" w:hAnsi="Arial"/>
          <w:b/>
          <w:i/>
          <w:sz w:val="18"/>
          <w:szCs w:val="18"/>
          <w:lang w:val="es-ES_tradnl" w:eastAsia="es-ES"/>
        </w:rPr>
        <w:t>en servicio privado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02 noches de alojamiento en Lima</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04 noches de alojamiento en Cusco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06 desayunos </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 xml:space="preserve">Visita a la ciudad de Lima </w:t>
      </w:r>
      <w:r>
        <w:rPr>
          <w:rFonts w:eastAsia="Times New Roman" w:cs="Arial" w:ascii="Arial" w:hAnsi="Arial"/>
          <w:b/>
          <w:bCs/>
          <w:i/>
          <w:iCs/>
          <w:sz w:val="18"/>
          <w:szCs w:val="18"/>
          <w:lang w:val="es-ES_tradnl" w:eastAsia="es-ES"/>
        </w:rPr>
        <w:t>en servicio privado</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Visita a la ciudad de Cusco y Parque Arqueológico de Sacsayhuamán en servicio regular</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 xml:space="preserve">Excursión a Valle Sagrado de los Incas </w:t>
      </w:r>
      <w:r>
        <w:rPr>
          <w:rFonts w:eastAsia="Times New Roman" w:cs="Arial" w:ascii="Arial" w:hAnsi="Arial"/>
          <w:b/>
          <w:bCs/>
          <w:sz w:val="18"/>
          <w:szCs w:val="18"/>
          <w:lang w:val="es-ES_tradnl" w:eastAsia="es-ES"/>
        </w:rPr>
        <w:t>con almuerzo</w:t>
      </w:r>
      <w:r>
        <w:rPr>
          <w:rFonts w:eastAsia="Times New Roman" w:cs="Arial" w:ascii="Arial" w:hAnsi="Arial"/>
          <w:sz w:val="18"/>
          <w:szCs w:val="18"/>
          <w:lang w:val="es-ES_tradnl" w:eastAsia="es-ES"/>
        </w:rPr>
        <w:t xml:space="preserve"> en servicio regular</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Entrada al Inti Raymi (Seción verde) + Transporte hotel/zona del inti Raymi/hotel + box lunch.</w:t>
      </w:r>
    </w:p>
    <w:p>
      <w:pPr>
        <w:pStyle w:val="ListParagraph"/>
        <w:widowControl w:val="false"/>
        <w:numPr>
          <w:ilvl w:val="0"/>
          <w:numId w:val="3"/>
        </w:numPr>
        <w:spacing w:lineRule="auto" w:line="240" w:before="0" w:after="0"/>
        <w:contextualSpacing/>
        <w:jc w:val="both"/>
        <w:textAlignment w:val="baseline"/>
        <w:rPr>
          <w:rFonts w:ascii="Arial" w:hAnsi="Arial" w:cs="Arial"/>
          <w:b/>
          <w:b/>
          <w:bCs/>
          <w:i/>
          <w:i/>
          <w:iCs/>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ListParagraph"/>
        <w:widowControl w:val="false"/>
        <w:numPr>
          <w:ilvl w:val="0"/>
          <w:numId w:val="3"/>
        </w:numPr>
        <w:spacing w:lineRule="auto" w:line="240" w:before="0" w:after="0"/>
        <w:contextualSpacing/>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Excursión a Machu Picchu con boleto de tren a Aguas Calientes </w:t>
      </w:r>
      <w:r>
        <w:rPr>
          <w:rFonts w:cs="Arial" w:ascii="Arial" w:hAnsi="Arial"/>
          <w:b/>
          <w:sz w:val="18"/>
          <w:szCs w:val="18"/>
          <w:lang w:val="es-ES_tradnl" w:eastAsia="es-ES"/>
        </w:rPr>
        <w:t>en Tren Expedition o Voyager</w:t>
      </w:r>
      <w:r>
        <w:rPr>
          <w:rFonts w:cs="Arial" w:ascii="Arial" w:hAnsi="Arial"/>
          <w:sz w:val="18"/>
          <w:szCs w:val="18"/>
          <w:lang w:val="es-ES_tradnl" w:eastAsia="es-ES"/>
        </w:rPr>
        <w:t xml:space="preserve"> </w:t>
      </w:r>
      <w:r>
        <w:rPr>
          <w:rFonts w:cs="Arial" w:ascii="Arial" w:hAnsi="Arial"/>
          <w:b/>
          <w:i/>
          <w:sz w:val="18"/>
          <w:szCs w:val="18"/>
          <w:lang w:val="es-ES_tradnl" w:eastAsia="es-ES"/>
        </w:rPr>
        <w:t xml:space="preserve">con almuerzo (no incluye bebidas) </w:t>
      </w:r>
      <w:r>
        <w:rPr>
          <w:rFonts w:cs="Arial" w:ascii="Arial" w:hAnsi="Arial"/>
          <w:bCs/>
          <w:iCs/>
          <w:sz w:val="18"/>
          <w:szCs w:val="18"/>
          <w:lang w:val="es-ES_tradnl" w:eastAsia="es-ES"/>
        </w:rPr>
        <w:t>en servicio regular</w:t>
      </w:r>
      <w:r>
        <w:rPr>
          <w:rFonts w:cs="Arial" w:ascii="Arial" w:hAnsi="Arial"/>
          <w:b/>
          <w:i/>
          <w:sz w:val="18"/>
          <w:szCs w:val="18"/>
          <w:lang w:val="es-ES_tradnl" w:eastAsia="es-ES"/>
        </w:rPr>
        <w:t xml:space="preserve"> </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Guía de habla hispana</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Souvenir de cortesía para todos los pasajeros</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Seguro de viaje </w:t>
      </w:r>
      <w:r>
        <w:rPr>
          <w:rFonts w:cs="Arial" w:ascii="Arial" w:hAnsi="Arial"/>
          <w:b/>
          <w:i/>
          <w:sz w:val="18"/>
          <w:szCs w:val="18"/>
          <w:lang w:val="es-ES_tradnl" w:eastAsia="es-ES"/>
        </w:rPr>
        <w:t>con cobertura COVID</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Asistencia 24hrs</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Lima – Cusco – Lima – México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TUA’s de salida (derechos de aeropuerto)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1"/>
        </w:numPr>
        <w:jc w:val="both"/>
        <w:textAlignment w:val="baseline"/>
        <w:rPr>
          <w:rFonts w:ascii="Arial" w:hAnsi="Arial" w:cs="Arial"/>
          <w:color w:val="FF0000"/>
          <w:sz w:val="18"/>
          <w:szCs w:val="18"/>
          <w:lang w:val="es-ES_tradnl" w:eastAsia="es-ES"/>
        </w:rPr>
      </w:pPr>
      <w:bookmarkStart w:id="1" w:name="_Hlk149061113"/>
      <w:r>
        <w:rPr>
          <w:rFonts w:cs="Arial" w:ascii="Arial" w:hAnsi="Arial"/>
          <w:sz w:val="18"/>
          <w:szCs w:val="18"/>
          <w:lang w:val="es-ES_tradnl" w:eastAsia="es-ES"/>
        </w:rPr>
        <w:t>Propinas para guía, chofer y maletero</w:t>
      </w:r>
      <w:bookmarkEnd w:id="1"/>
    </w:p>
    <w:p>
      <w:pPr>
        <w:pStyle w:val="NoSpacing"/>
        <w:widowControl w:val="false"/>
        <w:jc w:val="both"/>
        <w:textAlignment w:val="baseline"/>
        <w:rPr>
          <w:rFonts w:ascii="Arial" w:hAnsi="Arial" w:cs="Arial"/>
          <w:color w:val="FF0000"/>
          <w:sz w:val="18"/>
          <w:szCs w:val="18"/>
          <w:lang w:val="es-ES_tradnl" w:eastAsia="es-ES"/>
        </w:rPr>
      </w:pPr>
      <w:r>
        <w:rPr>
          <w:rFonts w:cs="Arial" w:ascii="Arial" w:hAnsi="Arial"/>
          <w:color w:val="FF0000"/>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SUPLEMENTOS / SERVICIOS ADICIONALES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DOLARES AMERICANOS (USD):  </w:t>
      </w:r>
    </w:p>
    <w:p>
      <w:pPr>
        <w:pStyle w:val="Normal"/>
        <w:spacing w:lineRule="auto" w:line="240" w:before="0" w:after="0"/>
        <w:ind w:firstLine="708"/>
        <w:jc w:val="center"/>
        <w:rPr>
          <w:rFonts w:ascii="Arial" w:hAnsi="Arial" w:eastAsia="Times New Roman" w:cs="Arial"/>
          <w:b/>
          <w:b/>
          <w:color w:val="000000" w:themeColor="text1"/>
          <w:sz w:val="18"/>
          <w:szCs w:val="18"/>
          <w:u w:val="single"/>
          <w:lang w:val="es-ES_tradnl" w:eastAsia="es-ES"/>
        </w:rPr>
      </w:pPr>
      <w:r>
        <w:rPr>
          <w:rFonts w:eastAsia="Times New Roman" w:cs="Arial" w:ascii="Arial" w:hAnsi="Arial"/>
          <w:b/>
          <w:color w:val="000000" w:themeColor="text1"/>
          <w:sz w:val="18"/>
          <w:szCs w:val="18"/>
          <w:u w:val="single"/>
          <w:lang w:val="es-ES_tradnl" w:eastAsia="es-ES"/>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eastAsia="Calibri"/>
                <w:b/>
                <w:b/>
                <w:bCs/>
                <w:kern w:val="0"/>
                <w:lang w:eastAsia="en-US" w:bidi="ar-SA"/>
              </w:rPr>
            </w:pPr>
            <w:r>
              <w:rPr>
                <w:rFonts w:eastAsia="Calibri" w:cs="Arial" w:ascii="Arial" w:hAnsi="Arial"/>
                <w:b/>
                <w:bCs/>
                <w:color w:val="FFFFFF" w:themeColor="background1"/>
                <w:kern w:val="0"/>
                <w:sz w:val="18"/>
                <w:szCs w:val="18"/>
                <w:lang w:eastAsia="en-US"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kern w:val="0"/>
                <w:lang w:bidi="ar-SA"/>
              </w:rPr>
            </w:pPr>
            <w:r>
              <w:rPr>
                <w:rFonts w:eastAsia="Times New Roman" w:cs="Arial" w:ascii="Arial" w:hAnsi="Arial"/>
                <w:b/>
                <w:bCs/>
                <w:color w:val="FFFFFF" w:themeColor="background1"/>
                <w:kern w:val="0"/>
                <w:sz w:val="18"/>
                <w:szCs w:val="18"/>
                <w:lang w:val="es-ES_tradnl" w:eastAsia="es-ES" w:bidi="ar-SA"/>
              </w:rPr>
              <w:t xml:space="preserve">PRECIO POR PAX </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eastAsia="en-US"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0000"/>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eastAsia="en-US" w:bidi="ar-SA"/>
              </w:rPr>
              <w:t>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eastAsia="en-US"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0000"/>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jc w:val="both"/>
        <w:textAlignment w:val="baseline"/>
        <w:rPr>
          <w:rFonts w:ascii="Arial" w:hAnsi="Arial" w:cs="Arial"/>
          <w:color w:val="FF0000"/>
          <w:sz w:val="10"/>
          <w:szCs w:val="10"/>
          <w:lang w:val="es-ES_tradnl" w:eastAsia="es-ES"/>
        </w:rPr>
      </w:pPr>
      <w:r>
        <w:rPr>
          <w:rFonts w:cs="Arial" w:ascii="Arial" w:hAnsi="Arial"/>
          <w:color w:val="FF0000"/>
          <w:sz w:val="10"/>
          <w:szCs w:val="10"/>
          <w:lang w:val="es-ES_tradnl" w:eastAsia="es-ES"/>
        </w:rPr>
      </w:r>
    </w:p>
    <w:p>
      <w:pPr>
        <w:pStyle w:val="NoSpacing"/>
        <w:widowControl w:val="false"/>
        <w:numPr>
          <w:ilvl w:val="0"/>
          <w:numId w:val="2"/>
        </w:numPr>
        <w:jc w:val="both"/>
        <w:textAlignment w:val="baseline"/>
        <w:rPr>
          <w:rFonts w:ascii="Arial" w:hAnsi="Arial" w:cs="Arial"/>
          <w:sz w:val="18"/>
          <w:szCs w:val="18"/>
          <w:lang w:val="es-ES_tradnl" w:eastAsia="es-ES"/>
        </w:rPr>
      </w:pPr>
      <w:bookmarkStart w:id="2" w:name="_Hlk138146766"/>
      <w:bookmarkEnd w:id="2"/>
      <w:r>
        <w:rPr>
          <w:rFonts w:cs="Arial" w:ascii="Arial" w:hAnsi="Arial"/>
          <w:sz w:val="18"/>
          <w:szCs w:val="18"/>
          <w:lang w:val="es-ES_tradnl"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_tradnl" w:eastAsia="es-ES"/>
        </w:rPr>
      </w:pPr>
      <w:bookmarkStart w:id="3" w:name="_Hlk149061178"/>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Fiestas Patrias (semana del 28, 29 de julio), 1° de noviembre, Navidad (23 al 25 de diciembre) y Año Nuevo (27 de diciembre al 01 de enero).</w:t>
      </w:r>
      <w:bookmarkEnd w:id="3"/>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2"/>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2"/>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2"/>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2"/>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2"/>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2"/>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excursión a Machu Picchu ha sido cotizada en el servicio de tren Vistadome / Expedition con almuerzo en el restaurante local (no incluye bebidas).</w:t>
      </w:r>
    </w:p>
    <w:p>
      <w:pPr>
        <w:pStyle w:val="ListParagraph"/>
        <w:numPr>
          <w:ilvl w:val="0"/>
          <w:numId w:val="2"/>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 regular.</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bookmarkStart w:id="4" w:name="_Hlk1381467661"/>
      <w:bookmarkStart w:id="5" w:name="_Hlk1381467661"/>
      <w:bookmarkEnd w:id="5"/>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rmal"/>
        <w:spacing w:lineRule="auto" w:line="240" w:before="0" w:after="0"/>
        <w:jc w:val="both"/>
        <w:rPr>
          <w:rFonts w:ascii="Arial" w:hAnsi="Arial" w:eastAsia="Times New Roman" w:cs="Arial"/>
          <w:b/>
          <w:b/>
          <w:sz w:val="18"/>
          <w:szCs w:val="18"/>
          <w:u w:val="single"/>
          <w:lang w:val="es-ES_tradnl" w:eastAsia="es-ES"/>
        </w:rPr>
      </w:pPr>
      <w:r>
        <w:rPr>
          <w:rFonts w:eastAsia="Times New Roman" w:cs="Arial" w:ascii="Arial" w:hAnsi="Arial"/>
          <w:b/>
          <w:sz w:val="18"/>
          <w:szCs w:val="18"/>
          <w:u w:val="single"/>
          <w:lang w:val="es-ES_tradnl"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6">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PARA VIAJAR HASTA EL 25 DE JUNIO  2025</w:t>
      </w:r>
    </w:p>
    <w:p>
      <w:pPr>
        <w:pStyle w:val="NoSpacing"/>
        <w:widowControl w:val="false"/>
        <w:jc w:val="center"/>
        <w:textAlignment w:val="baseline"/>
        <w:rPr>
          <w:rFonts w:ascii="Arial" w:hAnsi="Arial" w:cs="Arial"/>
          <w:b/>
          <w:b/>
          <w:color w:val="FFFFFF" w:themeColor="background1"/>
          <w:sz w:val="18"/>
          <w:szCs w:val="18"/>
          <w:u w:val="single"/>
          <w:lang w:val="es-ES_tradnl" w:eastAsia="es-ES"/>
        </w:rPr>
      </w:pPr>
      <w:r>
        <w:rPr>
          <w:rFonts w:cs="Arial" w:ascii="Arial" w:hAnsi="Arial"/>
          <w:b/>
          <w:color w:val="FFFFFF" w:themeColor="background1"/>
          <w:sz w:val="18"/>
          <w:szCs w:val="18"/>
          <w:highlight w:val="blue"/>
          <w:u w:val="single"/>
          <w:lang w:val="es-ES_tradnl" w:eastAsia="es-ES"/>
        </w:rPr>
        <w:t xml:space="preserve">SE REQUIERE PREPAGO </w:t>
      </w:r>
    </w:p>
    <w:tbl>
      <w:tblPr>
        <w:tblStyle w:val="Sombreadomedio1-nfasis6"/>
        <w:tblW w:w="699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997"/>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4"/>
              </w:numPr>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Toda anulación implica gastos de cancelación del 15% del costo total de la reservación.</w:t>
            </w:r>
          </w:p>
          <w:p>
            <w:pPr>
              <w:pStyle w:val="NoSpacing"/>
              <w:widowControl w:val="false"/>
              <w:numPr>
                <w:ilvl w:val="0"/>
                <w:numId w:val="4"/>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De 49 a 30 días antes de la fecha de salida aplica 35% del costo total de la reservación.</w:t>
            </w:r>
          </w:p>
          <w:p>
            <w:pPr>
              <w:pStyle w:val="NoSpacing"/>
              <w:widowControl w:val="false"/>
              <w:numPr>
                <w:ilvl w:val="0"/>
                <w:numId w:val="4"/>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 xml:space="preserve">De 29 a 15 días antes de la fecha de salida aplica 60% del costo total de la reservación. </w:t>
            </w:r>
          </w:p>
          <w:p>
            <w:pPr>
              <w:pStyle w:val="NoSpacing"/>
              <w:widowControl w:val="false"/>
              <w:numPr>
                <w:ilvl w:val="0"/>
                <w:numId w:val="5"/>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Entre 15 y 0 días antes de la fecha de salida aplica 100% de cargos del costo total de la reservación por persona.</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NO SHOW aplican cargos del 100% de cargos del costo total de la reservación por persona</w:t>
            </w:r>
          </w:p>
          <w:p>
            <w:pPr>
              <w:pStyle w:val="NoSpacing"/>
              <w:widowControl w:val="false"/>
              <w:suppressAutoHyphens w:val="true"/>
              <w:spacing w:before="0" w:after="0"/>
              <w:jc w:val="left"/>
              <w:textAlignment w:val="baseline"/>
              <w:rPr>
                <w:rFonts w:ascii="Arial" w:hAnsi="Arial" w:cs="Arial"/>
                <w:sz w:val="18"/>
                <w:szCs w:val="18"/>
                <w:lang w:val="es-MX" w:eastAsia="es-ES"/>
              </w:rPr>
            </w:pPr>
            <w:r>
              <w:rPr>
                <w:rFonts w:cs="Arial" w:ascii="Arial" w:hAnsi="Arial"/>
                <w:b/>
                <w:bCs/>
                <w:sz w:val="18"/>
                <w:szCs w:val="18"/>
                <w:lang w:val="es-MX" w:eastAsia="es-ES"/>
              </w:rPr>
            </w:r>
          </w:p>
          <w:p>
            <w:pPr>
              <w:pStyle w:val="NoSpacing"/>
              <w:widowControl w:val="false"/>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 xml:space="preserve">En el caso de los billetes de tren una vez emitidos los tickets estos son </w:t>
            </w:r>
            <w:r>
              <w:rPr>
                <w:rFonts w:cs="Arial" w:ascii="Arial" w:hAnsi="Arial"/>
                <w:b/>
                <w:bCs/>
                <w:kern w:val="0"/>
                <w:sz w:val="18"/>
                <w:szCs w:val="18"/>
                <w:u w:val="single"/>
                <w:lang w:val="es-MX" w:eastAsia="es-ES" w:bidi="ar-SA"/>
              </w:rPr>
              <w:t>NO REEMBOLSABLES</w:t>
            </w:r>
            <w:r>
              <w:rPr>
                <w:rFonts w:cs="Arial" w:ascii="Arial" w:hAnsi="Arial"/>
                <w:b/>
                <w:bCs/>
                <w:kern w:val="0"/>
                <w:sz w:val="18"/>
                <w:szCs w:val="18"/>
                <w:lang w:val="es-MX" w:eastAsia="es-ES" w:bidi="ar-SA"/>
              </w:rPr>
              <w:t>, no importante la fecha que sea solicitada la cancelación.</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7"/>
      <w:footerReference w:type="default" r:id="rId8"/>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Bernard MT Condensed">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tabs>
        <w:tab w:val="clear" w:pos="4252"/>
        <w:tab w:val="clear" w:pos="8504"/>
        <w:tab w:val="left" w:pos="8445" w:leader="none"/>
      </w:tabs>
      <w:rPr/>
    </w:pPr>
    <w:r>
      <mc:AlternateContent>
        <mc:Choice Requires="wps">
          <w:drawing>
            <wp:anchor behindDoc="1" distT="12700" distB="12700" distL="13335" distR="12065" simplePos="0" locked="0" layoutInCell="0" allowOverlap="1" relativeHeight="5" wp14:anchorId="2A8E9EA2">
              <wp:simplePos x="0" y="0"/>
              <wp:positionH relativeFrom="page">
                <wp:align>left</wp:align>
              </wp:positionH>
              <wp:positionV relativeFrom="paragraph">
                <wp:posOffset>-450215</wp:posOffset>
              </wp:positionV>
              <wp:extent cx="7705725" cy="885825"/>
              <wp:effectExtent l="13335" t="12700" r="12065" b="12700"/>
              <wp:wrapNone/>
              <wp:docPr id="5" name="Rectángulo 1"/>
              <a:graphic xmlns:a="http://schemas.openxmlformats.org/drawingml/2006/main">
                <a:graphicData uri="http://schemas.microsoft.com/office/word/2010/wordprocessingShape">
                  <wps:wsp>
                    <wps:cNvSpPr/>
                    <wps:spPr>
                      <a:xfrm>
                        <a:off x="0" y="0"/>
                        <a:ext cx="7705800" cy="8859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05pt;margin-top:-35.45pt;width:606.7pt;height:69.7pt;mso-wrap-style:none;v-text-anchor:middle;mso-position-horizontal:left;mso-position-horizontal-relative:page" wp14:anchorId="2A8E9EA2">
              <v:fill o:detectmouseclick="t" type="solid" color2="#404040"/>
              <v:stroke color="#bfbfbf" weight="25560" joinstyle="round" endcap="flat"/>
              <w10:wrap type="none"/>
            </v:rect>
          </w:pict>
        </mc:Fallback>
      </mc:AlternateContent>
      <w:drawing>
        <wp:anchor behindDoc="0" distT="0" distB="0" distL="114300" distR="114300" simplePos="0" locked="0" layoutInCell="0" allowOverlap="1" relativeHeight="9">
          <wp:simplePos x="0" y="0"/>
          <wp:positionH relativeFrom="margin">
            <wp:posOffset>9525</wp:posOffset>
          </wp:positionH>
          <wp:positionV relativeFrom="margin">
            <wp:posOffset>-822325</wp:posOffset>
          </wp:positionV>
          <wp:extent cx="2247900" cy="724535"/>
          <wp:effectExtent l="0" t="0" r="0" b="0"/>
          <wp:wrapSquare wrapText="bothSides"/>
          <wp:docPr id="6"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47900" cy="724535"/>
                  </a:xfrm>
                  <a:prstGeom prst="rect">
                    <a:avLst/>
                  </a:prstGeom>
                </pic:spPr>
              </pic:pic>
            </a:graphicData>
          </a:graphic>
        </wp:anchor>
      </w:drawing>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1"/>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character" w:styleId="Elementoriconlisttext" w:customStyle="1">
    <w:name w:val="elementor-icon-list-text"/>
    <w:basedOn w:val="DefaultParagraphFont"/>
    <w:qFormat/>
    <w:rsid w:val="00a8703f"/>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ascii="Calibri" w:hAnsi="Calibri"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e72947"/>
    <w:pPr>
      <w:spacing w:lineRule="auto" w:line="240" w:beforeAutospacing="1" w:afterAutospacing="1"/>
    </w:pPr>
    <w:rPr>
      <w:rFonts w:ascii="Times New Roman" w:hAnsi="Times New Roman" w:eastAsia="Times New Roman" w:cs="Times New Roman"/>
      <w:sz w:val="24"/>
      <w:szCs w:val="24"/>
      <w:lang w:eastAsia="es-ES"/>
    </w:rPr>
  </w:style>
  <w:style w:type="paragraph" w:styleId="Elementoriconlistitem" w:customStyle="1">
    <w:name w:val="elementor-icon-list-item"/>
    <w:basedOn w:val="Normal"/>
    <w:qFormat/>
    <w:rsid w:val="00a8703f"/>
    <w:pPr>
      <w:spacing w:lineRule="auto" w:line="240" w:beforeAutospacing="1" w:afterAutospacing="1"/>
    </w:pPr>
    <w:rPr>
      <w:rFonts w:ascii="Times New Roman" w:hAnsi="Times New Roman" w:eastAsia="Times New Roman" w:cs="Times New Roman"/>
      <w:sz w:val="24"/>
      <w:szCs w:val="24"/>
      <w:lang w:eastAsia="es-E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www.tourmundial.mx/"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Relationship Id="rId14" Type="http://schemas.openxmlformats.org/officeDocument/2006/relationships/customXml" Target="../customXml/item2.xml"/><Relationship Id="rId15" Type="http://schemas.openxmlformats.org/officeDocument/2006/relationships/customXml" Target="../customXml/item3.xml"/><Relationship Id="rId16"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5.png"/>
</Relationships>
</file>

<file path=word/_rels/numbering.xml.rels><?xml version="1.0" encoding="UTF-8"?>
<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4812B7-5890-4163-90A5-6841D0543DD0}">
  <ds:schemaRefs>
    <ds:schemaRef ds:uri="http://schemas.openxmlformats.org/officeDocument/2006/bibliography"/>
  </ds:schemaRefs>
</ds:datastoreItem>
</file>

<file path=customXml/itemProps2.xml><?xml version="1.0" encoding="utf-8"?>
<ds:datastoreItem xmlns:ds="http://schemas.openxmlformats.org/officeDocument/2006/customXml" ds:itemID="{105D902D-40BA-4608-911D-A88C5D3AA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DC432D-038F-4DFB-830B-F45910FF77C3}">
  <ds:schemaRefs>
    <ds:schemaRef ds:uri="http://schemas.microsoft.com/sharepoint/v3/contenttype/forms"/>
  </ds:schemaRefs>
</ds:datastoreItem>
</file>

<file path=customXml/itemProps4.xml><?xml version="1.0" encoding="utf-8"?>
<ds:datastoreItem xmlns:ds="http://schemas.openxmlformats.org/officeDocument/2006/customXml" ds:itemID="{53FDDB1B-29D1-4EE0-8590-EA792BDF2548}">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docProps/app.xml><?xml version="1.0" encoding="utf-8"?>
<Properties xmlns="http://schemas.openxmlformats.org/officeDocument/2006/extended-properties" xmlns:vt="http://schemas.openxmlformats.org/officeDocument/2006/docPropsVTypes">
  <Template>Normal</Template>
  <TotalTime>165</TotalTime>
  <Application>LibreOffice/7.3.5.2$Windows_X86_64 LibreOffice_project/184fe81b8c8c30d8b5082578aee2fed2ea847c01</Application>
  <AppVersion>15.0000</AppVersion>
  <Pages>4</Pages>
  <Words>2423</Words>
  <Characters>12388</Characters>
  <CharactersWithSpaces>14810</CharactersWithSpaces>
  <Paragraphs>128</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2024-01-11T23:07:00Z</dcterms:created>
  <dc:creator>Nan Lara</dc:creator>
  <dc:description/>
  <dc:language>es-MX</dc:language>
  <cp:lastModifiedBy/>
  <cp:lastPrinted>2024-01-30T19:13:00Z</cp:lastPrinted>
  <dcterms:modified xsi:type="dcterms:W3CDTF">2025-02-12T08:31:56Z</dcterms:modified>
  <cp:revision>57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ed547e0277f017856e04da88a2d40d701b186596c0f341e107ff5ecf4839ad54</vt:lpwstr>
  </property>
</Properties>
</file>