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9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96"/>
      </w:tblGrid>
      <w:tr>
        <w:trPr>
          <w:trHeight w:val="240" w:hRule="atLeast"/>
          <w:cnfStyle w:val="100000000000" w:firstRow="1" w:lastRow="0" w:firstColumn="0" w:lastColumn="0" w:oddVBand="0" w:evenVBand="0" w:oddHBand="0" w:evenHBand="0" w:firstRowFirstColumn="0" w:firstRowLastColumn="0" w:lastRowFirstColumn="0" w:lastRowLastColumn="0"/>
        </w:trPr>
        <w:tc>
          <w:tcPr>
            <w:tcW w:w="969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b w:val="false"/>
                <w:b w:val="false"/>
                <w:color w:val="FF0000"/>
                <w:sz w:val="44"/>
                <w:szCs w:val="44"/>
                <w:lang w:eastAsia="es-ES"/>
              </w:rPr>
            </w:pPr>
            <w:r>
              <w:rPr>
                <w:rFonts w:eastAsia="Times New Roman" w:cs="Arial" w:ascii="Arial" w:hAnsi="Arial"/>
                <w:b/>
                <w:bCs w:val="false"/>
                <w:color w:val="EF782D"/>
                <w:kern w:val="0"/>
                <w:sz w:val="44"/>
                <w:szCs w:val="44"/>
                <w:lang w:val="es-ES" w:eastAsia="es-ES" w:bidi="ar-SA"/>
              </w:rPr>
              <w:t>ROCOSAS EN TREN INVERNAL</w:t>
            </w:r>
          </w:p>
        </w:tc>
      </w:tr>
    </w:tbl>
    <w:p>
      <w:pPr>
        <w:pStyle w:val="Normal"/>
        <w:spacing w:lineRule="auto" w:line="240" w:before="0" w:after="0"/>
        <w:jc w:val="both"/>
        <w:rPr>
          <w:rFonts w:ascii="Arial" w:hAnsi="Arial" w:eastAsia="Times New Roman" w:cs="Arial"/>
          <w:color w:val="000000"/>
          <w:sz w:val="8"/>
          <w:szCs w:val="12"/>
          <w:lang w:eastAsia="es-ES"/>
        </w:rPr>
      </w:pPr>
      <w:r>
        <w:rPr>
          <w:rFonts w:eastAsia="Times New Roman" w:cs="Arial" w:ascii="Arial" w:hAnsi="Arial"/>
          <w:color w:val="000000"/>
          <w:sz w:val="8"/>
          <w:szCs w:val="12"/>
          <w:lang w:eastAsia="es-ES"/>
        </w:rPr>
      </w:r>
    </w:p>
    <w:tbl>
      <w:tblPr>
        <w:tblStyle w:val="Cuadrculamedia1-nfasis6"/>
        <w:tblW w:w="9843" w:type="dxa"/>
        <w:jc w:val="left"/>
        <w:tblInd w:w="107"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3"/>
      </w:tblGrid>
      <w:tr>
        <w:trPr>
          <w:trHeight w:val="946" w:hRule="atLeast"/>
          <w:cnfStyle w:val="100000000000" w:firstRow="1" w:lastRow="0" w:firstColumn="0" w:lastColumn="0" w:oddVBand="0" w:evenVBand="0" w:oddHBand="0" w:evenHBand="0" w:firstRowFirstColumn="0" w:firstRowLastColumn="0" w:lastRowFirstColumn="0" w:lastRowLastColumn="0"/>
        </w:trPr>
        <w:tc>
          <w:tcPr>
            <w:tcW w:w="984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MX" w:eastAsia="es-ES"/>
              </w:rPr>
            </w:pPr>
            <w:r>
              <w:rPr>
                <w:rFonts w:eastAsia="Times New Roman" w:cs="Arial" w:ascii="Arial" w:hAnsi="Arial"/>
                <w:b/>
                <w:bCs/>
                <w:color w:val="EF782D"/>
                <w:kern w:val="0"/>
                <w:sz w:val="18"/>
                <w:szCs w:val="18"/>
                <w:lang w:val="es-MX" w:eastAsia="es-ES" w:bidi="ar-SA"/>
              </w:rPr>
              <w:t>Visitando</w:t>
            </w:r>
            <w:r>
              <w:rPr>
                <w:rFonts w:eastAsia="Times New Roman" w:cs="Arial" w:ascii="Arial" w:hAnsi="Arial"/>
                <w:b/>
                <w:bCs/>
                <w:color w:val="E36C0A" w:themeColor="accent6" w:themeShade="bf"/>
                <w:kern w:val="0"/>
                <w:sz w:val="18"/>
                <w:szCs w:val="18"/>
                <w:lang w:val="es-MX" w:eastAsia="es-ES" w:bidi="ar-SA"/>
              </w:rPr>
              <w:t>:</w:t>
            </w:r>
            <w:r>
              <w:rPr>
                <w:rFonts w:eastAsia="Times New Roman" w:cs="Arial" w:ascii="Arial" w:hAnsi="Arial"/>
                <w:b/>
                <w:bCs/>
                <w:color w:val="000000"/>
                <w:kern w:val="0"/>
                <w:sz w:val="18"/>
                <w:szCs w:val="18"/>
                <w:lang w:val="es-MX" w:eastAsia="es-ES" w:bidi="ar-SA"/>
              </w:rPr>
              <w:tab/>
              <w:t>Vancouver – Kamloops – Jasper (noche a bordo del tren Via Rail) – Banff – Lake Louise – Banff – Calgary</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themeColor="text1"/>
                <w:sz w:val="18"/>
                <w:szCs w:val="18"/>
                <w:lang w:eastAsia="es-ES"/>
              </w:rPr>
            </w:pPr>
            <w:r>
              <w:rPr>
                <w:rFonts w:eastAsia="Times New Roman" w:cs="Arial" w:ascii="Arial" w:hAnsi="Arial"/>
                <w:b/>
                <w:bCs/>
                <w:color w:val="E36C0A" w:themeColor="accent6" w:themeShade="bf"/>
                <w:kern w:val="0"/>
                <w:sz w:val="18"/>
                <w:szCs w:val="18"/>
                <w:lang w:val="es-ES" w:eastAsia="es-ES" w:bidi="ar-SA"/>
              </w:rPr>
              <w:t xml:space="preserve">Salidas:              </w:t>
            </w:r>
            <w:r>
              <w:rPr>
                <w:rFonts w:eastAsia="Times New Roman" w:cs="Arial" w:ascii="Arial" w:hAnsi="Arial"/>
                <w:b/>
                <w:bCs/>
                <w:color w:val="000000" w:themeColor="text1"/>
                <w:kern w:val="0"/>
                <w:sz w:val="18"/>
                <w:szCs w:val="18"/>
                <w:lang w:val="es-ES" w:eastAsia="es-ES" w:bidi="ar-SA"/>
              </w:rPr>
              <w:t>Miércoles y Sábados del 01 de noviembre 2024 al 23 de abril 2025</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Duración:</w:t>
            </w:r>
            <w:r>
              <w:rPr>
                <w:rFonts w:eastAsia="Times New Roman" w:cs="Arial" w:ascii="Arial" w:hAnsi="Arial"/>
                <w:b/>
                <w:bCs/>
                <w:color w:val="000000"/>
                <w:kern w:val="0"/>
                <w:sz w:val="18"/>
                <w:szCs w:val="18"/>
                <w:lang w:val="es-ES" w:eastAsia="es-ES" w:bidi="ar-SA"/>
              </w:rPr>
              <w:tab/>
            </w:r>
            <w:r>
              <w:rPr>
                <w:rFonts w:eastAsia="Times New Roman" w:cs="Arial" w:ascii="Arial" w:hAnsi="Arial"/>
                <w:b/>
                <w:bCs/>
                <w:color w:val="000000"/>
                <w:kern w:val="0"/>
                <w:sz w:val="18"/>
                <w:szCs w:val="18"/>
                <w:lang w:val="es-ES_tradnl" w:eastAsia="es-ES" w:bidi="ar-SA"/>
              </w:rPr>
              <w:tab/>
              <w:t>8 días / 7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 xml:space="preserve">Alimentos:          </w:t>
            </w:r>
            <w:r>
              <w:rPr>
                <w:rFonts w:eastAsia="Times New Roman" w:cs="Arial" w:ascii="Arial" w:hAnsi="Arial"/>
                <w:b/>
                <w:bCs/>
                <w:color w:val="000000" w:themeColor="text1"/>
                <w:kern w:val="0"/>
                <w:sz w:val="18"/>
                <w:szCs w:val="18"/>
                <w:lang w:val="es-ES" w:eastAsia="es-ES" w:bidi="ar-SA"/>
              </w:rPr>
              <w:t>1 cena y 1 desayuno a bordo del tren Via Rail</w:t>
            </w:r>
          </w:p>
        </w:tc>
      </w:tr>
    </w:tbl>
    <w:p>
      <w:pPr>
        <w:pStyle w:val="Normal"/>
        <w:spacing w:lineRule="auto" w:line="240" w:before="0" w:after="0"/>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245860" cy="194373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rcRect l="0" t="6639" r="0" b="0"/>
                    <a:stretch>
                      <a:fillRect/>
                    </a:stretch>
                  </pic:blipFill>
                  <pic:spPr bwMode="auto">
                    <a:xfrm>
                      <a:off x="0" y="0"/>
                      <a:ext cx="6245860" cy="194373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 </w:t>
        <w:tab/>
        <w:t>Vancouver</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Recepción en el aeropuerto con entrega de documentación para el viaje y traslado al hotel de Vancouver.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2 </w:t>
        <w:tab/>
        <w:t>Vancouver</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 xml:space="preserve">Tour de Ciudad de Vancouver </w:t>
      </w:r>
      <w:r>
        <w:rPr>
          <w:rFonts w:cs="Arial" w:ascii="Arial" w:hAnsi="Arial"/>
          <w:b/>
          <w:bCs/>
          <w:i/>
          <w:iCs/>
          <w:sz w:val="18"/>
          <w:szCs w:val="18"/>
        </w:rPr>
        <w:t>(Incluido).</w:t>
      </w:r>
      <w:r>
        <w:rPr>
          <w:rFonts w:cs="Arial" w:ascii="Arial" w:hAnsi="Arial"/>
          <w:sz w:val="18"/>
          <w:szCs w:val="18"/>
        </w:rPr>
        <w:t xml:space="preserve"> Comenzamos el tour por Yaletown, para pasar al exótico Chinatown, continuando porGastown y Canada Place.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Burrard. Finalizando nuestra visita a la ciudad, entraremos a Granville Island con su artesanía local y el ambiente marinero en el pequeño puerto deportivo. Por la tarde posibilidad de realizar el tour de Norte de Vancouver (no incluido) para poder visitar el Puente de Capilano y la Montaña Grouse.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3     Vancouver – Kamloops – Jasper (noche a bordo del tren)</w:t>
      </w:r>
    </w:p>
    <w:p>
      <w:pPr>
        <w:pStyle w:val="Normal"/>
        <w:spacing w:lineRule="auto" w:line="240" w:before="0" w:after="0"/>
        <w:jc w:val="both"/>
        <w:rPr>
          <w:rFonts w:ascii="Arial" w:hAnsi="Arial" w:cs="Arial"/>
          <w:sz w:val="18"/>
          <w:szCs w:val="18"/>
        </w:rPr>
      </w:pPr>
      <w:r>
        <w:rPr>
          <w:rFonts w:cs="Arial" w:ascii="Arial" w:hAnsi="Arial"/>
          <w:sz w:val="18"/>
          <w:szCs w:val="18"/>
        </w:rPr>
        <w:t xml:space="preserve">Traslado por la mañana a la estación de trenes donde abordarán el Tren via Rail </w:t>
      </w:r>
      <w:r>
        <w:rPr>
          <w:rFonts w:cs="Arial" w:ascii="Arial" w:hAnsi="Arial"/>
          <w:b/>
          <w:bCs/>
          <w:i/>
          <w:iCs/>
          <w:sz w:val="18"/>
          <w:szCs w:val="18"/>
        </w:rPr>
        <w:t>(incluido)</w:t>
      </w:r>
      <w:r>
        <w:rPr>
          <w:rFonts w:cs="Arial" w:ascii="Arial" w:hAnsi="Arial"/>
          <w:sz w:val="18"/>
          <w:szCs w:val="18"/>
        </w:rPr>
        <w:t xml:space="preserve"> a las 15:00 del mediodía (check in una hora antes) con destino a Jasper. Dejaremos atrás la ciudad de Vancouver para disfrutar de un hotel sobre ruedas. Les invitamos a disfrutar de la porción entre Vancouver y Jasper a bordo del tren “The Canadian”, uno de los grandes orgullos de VIA Rail. Cena </w:t>
      </w:r>
      <w:r>
        <w:rPr>
          <w:rFonts w:cs="Arial" w:ascii="Arial" w:hAnsi="Arial"/>
          <w:b/>
          <w:bCs/>
          <w:i/>
          <w:iCs/>
          <w:sz w:val="18"/>
          <w:szCs w:val="18"/>
        </w:rPr>
        <w:t>(incluida).</w:t>
      </w:r>
      <w:r>
        <w:rPr>
          <w:rFonts w:cs="Arial" w:ascii="Arial" w:hAnsi="Arial"/>
          <w:sz w:val="18"/>
          <w:szCs w:val="18"/>
        </w:rPr>
        <w:t xml:space="preserve"> Alojamiento a bordo del tren.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i/>
          <w:i/>
          <w:iCs/>
          <w:color w:val="E36C0A" w:themeColor="accent6" w:themeShade="bf"/>
          <w:sz w:val="18"/>
          <w:szCs w:val="18"/>
          <w:lang w:eastAsia="es-ES"/>
        </w:rPr>
      </w:pPr>
      <w:r>
        <w:rPr>
          <w:rFonts w:cs="Arial" w:ascii="Arial" w:hAnsi="Arial"/>
          <w:i/>
          <w:iCs/>
          <w:color w:val="262626" w:themeColor="text1" w:themeTint="d9"/>
          <w:sz w:val="18"/>
          <w:szCs w:val="18"/>
        </w:rPr>
        <w:t>Nota: Los servicios a bordo del tren son en inglés. El cliente no tendrá acceso al equipaje facturado hasta Jasper, recomendamos que el cliente lleve un carry on a bordo con lo necesario para pasar la noche dentro del tren.</w:t>
      </w:r>
      <w:r>
        <w:rPr>
          <w:rFonts w:eastAsia="Times New Roman" w:cs="Arial" w:ascii="Arial" w:hAnsi="Arial"/>
          <w:b/>
          <w:i/>
          <w:iCs/>
          <w:color w:val="E36C0A" w:themeColor="accent6" w:themeShade="bf"/>
          <w:sz w:val="18"/>
          <w:szCs w:val="18"/>
          <w:lang w:eastAsia="es-ES"/>
        </w:rPr>
        <w:tab/>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4     Jasper</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b/>
          <w:bCs/>
          <w:i/>
          <w:iCs/>
          <w:sz w:val="18"/>
          <w:szCs w:val="18"/>
          <w:u w:val="single"/>
        </w:rPr>
        <w:t>Desayuno</w:t>
      </w:r>
      <w:r>
        <w:rPr>
          <w:rFonts w:cs="Arial" w:ascii="Arial" w:hAnsi="Arial"/>
          <w:b/>
          <w:bCs/>
          <w:i/>
          <w:iCs/>
          <w:sz w:val="18"/>
          <w:szCs w:val="18"/>
        </w:rPr>
        <w:t>.</w:t>
      </w:r>
      <w:r>
        <w:rPr>
          <w:rFonts w:cs="Arial" w:ascii="Arial" w:hAnsi="Arial"/>
          <w:sz w:val="18"/>
          <w:szCs w:val="18"/>
        </w:rPr>
        <w:t xml:space="preserve"> A la luz del día y continuando a bordo del tren, tendremos la oportunidad de contemplar dos paisajes muy peculiares de la provincia de British Columbia: las llanuras semiáridas del Okanagan y la entrada a una de las cadenas montañosas más espectaculares del mundo: las Rocosas Canadienses. A las 11:00 llegaremos a Jasper, una población de estilo suizo, anidado en las montañas cuyos alrededores son un verdadero paraíso natural. Traslado a su hotel por parte por cuenta del cliente (7 minutos caminando al H. Crimson). Tour gastronómico </w:t>
      </w:r>
      <w:r>
        <w:rPr>
          <w:rFonts w:cs="Arial" w:ascii="Arial" w:hAnsi="Arial"/>
          <w:b/>
          <w:bCs/>
          <w:i/>
          <w:iCs/>
          <w:sz w:val="18"/>
          <w:szCs w:val="18"/>
        </w:rPr>
        <w:t>(incluido / en inglés)</w:t>
      </w:r>
      <w:r>
        <w:rPr>
          <w:rFonts w:cs="Arial" w:ascii="Arial" w:hAnsi="Arial"/>
          <w:sz w:val="18"/>
          <w:szCs w:val="18"/>
        </w:rPr>
        <w:t xml:space="preserve"> a las 14:30 (Personarse en Park Canada Information Center, 500 Connaught Drive) donde visitará cuatro restaurantes locales, deleitándose de cuatro platos cuidadosamente seleccionados acompañado de bebidas alcohólicas locales. Alojamiento.</w:t>
      </w:r>
      <w:r>
        <w:rPr>
          <w:rFonts w:eastAsia="Times New Roman" w:cs="Arial" w:ascii="Arial" w:hAnsi="Arial"/>
          <w:b/>
          <w:color w:val="E36C0A" w:themeColor="accent6" w:themeShade="bf"/>
          <w:sz w:val="18"/>
          <w:szCs w:val="18"/>
          <w:lang w:eastAsia="es-ES"/>
        </w:rPr>
        <w:t xml:space="preserve">   </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cs="Arial"/>
          <w:i/>
          <w:i/>
          <w:iCs/>
          <w:color w:val="262626" w:themeColor="text1" w:themeTint="d9"/>
          <w:sz w:val="18"/>
          <w:szCs w:val="18"/>
        </w:rPr>
      </w:pPr>
      <w:r>
        <w:rPr>
          <w:rFonts w:cs="Arial" w:ascii="Arial" w:hAnsi="Arial"/>
          <w:i/>
          <w:iCs/>
          <w:color w:val="262626" w:themeColor="text1" w:themeTint="d9"/>
          <w:sz w:val="18"/>
          <w:szCs w:val="18"/>
        </w:rPr>
        <w:t>Nota: Tour Gastronómico de Jasper no permitido para menores de 18 años.</w:t>
      </w:r>
    </w:p>
    <w:p>
      <w:pPr>
        <w:pStyle w:val="Normal"/>
        <w:spacing w:lineRule="auto" w:line="240" w:before="0" w:after="0"/>
        <w:jc w:val="both"/>
        <w:rPr>
          <w:rFonts w:ascii="Arial" w:hAnsi="Arial" w:eastAsia="Times New Roman" w:cs="Arial"/>
          <w:i/>
          <w:i/>
          <w:iCs/>
          <w:color w:val="262626" w:themeColor="text1" w:themeTint="d9"/>
          <w:sz w:val="14"/>
          <w:szCs w:val="14"/>
          <w:lang w:eastAsia="es-ES"/>
        </w:rPr>
      </w:pPr>
      <w:r>
        <w:rPr>
          <w:rFonts w:eastAsia="Times New Roman" w:cs="Arial" w:ascii="Arial" w:hAnsi="Arial"/>
          <w:i/>
          <w:iCs/>
          <w:color w:val="262626" w:themeColor="text1" w:themeTint="d9"/>
          <w:sz w:val="14"/>
          <w:szCs w:val="14"/>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5      Jasper</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Día libre. Recomendamos la visita de Caminata en el hielo de Jasper (opcional) una de las aventuras invernales más populares e impresionantes de Jasper. Su guía lo llevará al fondo del cañón Maligne, el cañón más profundo del parque nacional de Jasper, donde explorará cascadas congeladas, cuevas de hielo y formaciones de hielo. Aprenderá sobre el valle Maligne de Jasper, la topografía kárstica y el misterio de la “desaparición” de Medicine Lake. Este tour es una excelente opción para cualquier persona que no esquía o hace snowboard. Este tour es de aproximadamente 3.5 kms y es mayormente bajada. Los participantes deben vestirse apropiadamente para el clima. Otra alternativa es el tour de Descrubre la vida salvaje de Jasper (opcional) para descubrir la fauna autóctona del Parque Nacional de Jasper. Alojamiento.</w:t>
      </w:r>
      <w:r>
        <w:rPr>
          <w:rFonts w:eastAsia="Times New Roman" w:cs="Arial" w:ascii="Arial" w:hAnsi="Arial"/>
          <w:b/>
          <w:color w:val="E36C0A" w:themeColor="accent6" w:themeShade="bf"/>
          <w:sz w:val="18"/>
          <w:szCs w:val="18"/>
          <w:lang w:eastAsia="es-ES"/>
        </w:rPr>
        <w:tab/>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6</w:t>
        <w:tab/>
        <w:t xml:space="preserve"> Jasper – Banff </w:t>
      </w:r>
    </w:p>
    <w:p>
      <w:pPr>
        <w:pStyle w:val="Normal"/>
        <w:spacing w:lineRule="auto" w:line="240" w:before="0" w:after="0"/>
        <w:jc w:val="both"/>
        <w:rPr>
          <w:rFonts w:ascii="Arial" w:hAnsi="Arial" w:eastAsia="Times New Roman" w:cs="Arial"/>
          <w:sz w:val="18"/>
          <w:szCs w:val="18"/>
          <w:lang w:eastAsia="es-ES"/>
        </w:rPr>
      </w:pPr>
      <w:r>
        <w:rPr>
          <w:rFonts w:cs="Arial" w:ascii="Arial" w:hAnsi="Arial"/>
          <w:sz w:val="18"/>
          <w:szCs w:val="18"/>
        </w:rPr>
        <w:t>Traslado a Banff a través de la espectacular carretera de los glaciares. Esta carretera es uno de los tesoros nacionales de Canadá. Recorremos 232km (144 millas) a través del corazón de las Canadian Rocky Mountains, parque considerado patrimonio de la humanidad, este viaje nos ofrece acceso a un vasto paisaje de lagos de montaña, antiguos glaciares y amplios valles. Esta ruta de viaje especial serpentea a través de dos parques nacionales, el Parque Nacional de Jasper y el Parque Nacional de Banff que ofrecen un paisaje único e irreemplazable, rico en historia y belleza natural inigualable. Al final de nuestro recorrido se levanta la belleza de Banff sin rival. Anidado en el valle vasto protegido por los picos montañosos, Banff es un oasis alpino de actividad, aventura y vistas inspirantes. Por la tarde sugerimos caminar por las calles de Banff o tomar la Banff Gondola (opcional) a la cima de la Montaña Sulphur, que les permitirá tener vistas maravillosas del Valle de Bow. Alojamiento. Nota importante: Los servicios de este día son en inglés.</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7       Banff – Lake Louise – Banff  </w:t>
      </w:r>
    </w:p>
    <w:p>
      <w:pPr>
        <w:pStyle w:val="Normal"/>
        <w:spacing w:lineRule="auto" w:line="240" w:before="0" w:after="0"/>
        <w:jc w:val="both"/>
        <w:rPr>
          <w:rFonts w:ascii="Arial" w:hAnsi="Arial" w:cs="Arial"/>
          <w:sz w:val="18"/>
          <w:szCs w:val="18"/>
        </w:rPr>
      </w:pPr>
      <w:r>
        <w:rPr>
          <w:rFonts w:cs="Arial" w:ascii="Arial" w:hAnsi="Arial"/>
          <w:sz w:val="18"/>
          <w:szCs w:val="18"/>
        </w:rPr>
        <w:t xml:space="preserve">Este día disfrutarán de la visita al famoso Lake Louise </w:t>
      </w:r>
      <w:r>
        <w:rPr>
          <w:rFonts w:cs="Arial" w:ascii="Arial" w:hAnsi="Arial"/>
          <w:b/>
          <w:bCs/>
          <w:i/>
          <w:iCs/>
          <w:sz w:val="18"/>
          <w:szCs w:val="18"/>
        </w:rPr>
        <w:t>(incluido)</w:t>
      </w:r>
      <w:r>
        <w:rPr>
          <w:rFonts w:cs="Arial" w:ascii="Arial" w:hAnsi="Arial"/>
          <w:sz w:val="18"/>
          <w:szCs w:val="18"/>
        </w:rPr>
        <w:t xml:space="preserve">. El bellísimo Lake Louise está localizado en el corazón de las Rocosas y a sólo una hora </w:t>
      </w:r>
      <w:r>
        <w:rPr>
          <w:rFonts w:cs="Arial" w:ascii="Arial" w:hAnsi="Arial"/>
          <w:color w:val="000000" w:themeColor="text1"/>
          <w:sz w:val="18"/>
          <w:szCs w:val="18"/>
        </w:rPr>
        <w:t xml:space="preserve">de Banff. Una vez en Lake Louise tendremos oportunidad de realizar una corta caminata con raquetas de nieve </w:t>
      </w:r>
      <w:r>
        <w:rPr>
          <w:rFonts w:cs="Arial" w:ascii="Arial" w:hAnsi="Arial"/>
          <w:b/>
          <w:bCs/>
          <w:i/>
          <w:iCs/>
          <w:color w:val="000000" w:themeColor="text1"/>
          <w:sz w:val="18"/>
          <w:szCs w:val="18"/>
        </w:rPr>
        <w:t>(Incluido / sin guía / a partir de diciembre 1</w:t>
      </w:r>
      <w:r>
        <w:rPr>
          <w:rFonts w:cs="Arial" w:ascii="Arial" w:hAnsi="Arial"/>
          <w:b/>
          <w:bCs/>
          <w:i/>
          <w:iCs/>
          <w:color w:val="262626" w:themeColor="text1" w:themeTint="d9"/>
          <w:sz w:val="18"/>
          <w:szCs w:val="18"/>
        </w:rPr>
        <w:t>)</w:t>
      </w:r>
      <w:r>
        <w:rPr>
          <w:rFonts w:cs="Arial" w:ascii="Arial" w:hAnsi="Arial"/>
          <w:sz w:val="18"/>
          <w:szCs w:val="18"/>
        </w:rPr>
        <w:t xml:space="preserve"> y visitar el famoso Fairmont Chateau Lake Louise Hotel. Mount Victoria con el Glaciar Victoria (3,464 m) es probablemente el pico más fotografiado en las Rockies, por encontrarse como marco de fondo al Lake Louise. Alojamiento. </w:t>
      </w:r>
    </w:p>
    <w:p>
      <w:pPr>
        <w:pStyle w:val="Normal"/>
        <w:spacing w:lineRule="auto" w:line="240" w:before="0" w:after="0"/>
        <w:jc w:val="both"/>
        <w:rPr>
          <w:rFonts w:ascii="Arial" w:hAnsi="Arial" w:cs="Arial"/>
          <w:i/>
          <w:i/>
          <w:iCs/>
          <w:color w:val="262626" w:themeColor="text1" w:themeTint="d9"/>
          <w:sz w:val="18"/>
          <w:szCs w:val="18"/>
        </w:rPr>
      </w:pPr>
      <w:r>
        <w:rPr>
          <w:rFonts w:cs="Arial" w:ascii="Arial" w:hAnsi="Arial"/>
          <w:i/>
          <w:iCs/>
          <w:color w:val="262626" w:themeColor="text1" w:themeTint="d9"/>
          <w:sz w:val="18"/>
          <w:szCs w:val="18"/>
        </w:rPr>
      </w:r>
    </w:p>
    <w:p>
      <w:pPr>
        <w:pStyle w:val="Normal"/>
        <w:spacing w:lineRule="auto" w:line="240" w:before="0" w:after="0"/>
        <w:jc w:val="both"/>
        <w:rPr>
          <w:rFonts w:ascii="Arial" w:hAnsi="Arial" w:eastAsia="Times New Roman" w:cs="Arial"/>
          <w:b/>
          <w:b/>
          <w:i/>
          <w:i/>
          <w:iCs/>
          <w:color w:val="262626" w:themeColor="text1" w:themeTint="d9"/>
          <w:sz w:val="18"/>
          <w:szCs w:val="18"/>
          <w:lang w:eastAsia="es-ES"/>
        </w:rPr>
      </w:pPr>
      <w:r>
        <w:rPr>
          <w:rFonts w:cs="Arial" w:ascii="Arial" w:hAnsi="Arial"/>
          <w:i/>
          <w:iCs/>
          <w:color w:val="262626" w:themeColor="text1" w:themeTint="d9"/>
          <w:sz w:val="18"/>
          <w:szCs w:val="18"/>
        </w:rPr>
        <w:t>Nota: Los servicios de este día son en inglés.</w:t>
      </w:r>
    </w:p>
    <w:p>
      <w:pPr>
        <w:pStyle w:val="Normal"/>
        <w:spacing w:lineRule="auto" w:line="240" w:before="0" w:after="0"/>
        <w:jc w:val="both"/>
        <w:rPr>
          <w:rFonts w:ascii="Arial" w:hAnsi="Arial" w:eastAsia="Times New Roman" w:cs="Arial"/>
          <w:b/>
          <w:b/>
          <w:i/>
          <w:i/>
          <w:iCs/>
          <w:color w:val="262626" w:themeColor="text1" w:themeTint="d9"/>
          <w:sz w:val="18"/>
          <w:szCs w:val="18"/>
          <w:lang w:eastAsia="es-ES"/>
        </w:rPr>
      </w:pPr>
      <w:r>
        <w:rPr>
          <w:rFonts w:eastAsia="Times New Roman" w:cs="Arial" w:ascii="Arial" w:hAnsi="Arial"/>
          <w:b/>
          <w:i/>
          <w:iCs/>
          <w:color w:val="262626" w:themeColor="text1" w:themeTint="d9"/>
          <w:sz w:val="18"/>
          <w:szCs w:val="18"/>
          <w:lang w:eastAsia="es-ES"/>
        </w:rPr>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b/>
          <w:color w:val="E36C0A" w:themeColor="accent6" w:themeShade="bf"/>
          <w:sz w:val="18"/>
          <w:szCs w:val="18"/>
          <w:lang w:eastAsia="es-ES"/>
        </w:rPr>
        <w:t xml:space="preserve">Día 8       Banff – Calgary  </w:t>
        <w:tab/>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t>A la hora programada traslado del hotel al aeropuerto de Calgary para tomar el vuelo de salida.</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i/>
          <w:i/>
          <w:iCs/>
          <w:color w:val="262626" w:themeColor="text1" w:themeTint="d9"/>
          <w:sz w:val="14"/>
          <w:szCs w:val="14"/>
          <w:lang w:eastAsia="es-ES"/>
        </w:rPr>
      </w:pPr>
      <w:r>
        <w:rPr>
          <w:rFonts w:cs="Arial" w:ascii="Arial" w:hAnsi="Arial"/>
          <w:i/>
          <w:iCs/>
          <w:color w:val="262626" w:themeColor="text1" w:themeTint="d9"/>
          <w:sz w:val="18"/>
          <w:szCs w:val="18"/>
        </w:rPr>
        <w:t>Nota: El Shuttle de salida desde el Hotel de Banff al Aeropuerto de Calgary tiene una duración de 3.5 horas. Primer shuttle de ida a las 9:30 am y último a las 22:00, y vuelta primero a las 08:00am y último a las 18:30.</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right"/>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HOTELES PREVISTOS O SIMILARES:</w:t>
      </w:r>
    </w:p>
    <w:p>
      <w:pPr>
        <w:pStyle w:val="Normal"/>
        <w:spacing w:lineRule="auto" w:line="240" w:before="0" w:after="0"/>
        <w:rPr>
          <w:rFonts w:ascii="Arial" w:hAnsi="Arial" w:eastAsia="Times New Roman" w:cs="Arial"/>
          <w:b/>
          <w:b/>
          <w:color w:val="E36C0A" w:themeColor="accent6" w:themeShade="bf"/>
          <w:sz w:val="12"/>
          <w:szCs w:val="18"/>
          <w:u w:val="single"/>
          <w:lang w:eastAsia="es-ES"/>
        </w:rPr>
      </w:pPr>
      <w:r>
        <w:rPr>
          <w:rFonts w:eastAsia="Times New Roman" w:cs="Arial" w:ascii="Arial" w:hAnsi="Arial"/>
          <w:b/>
          <w:color w:val="E36C0A" w:themeColor="accent6" w:themeShade="bf"/>
          <w:sz w:val="12"/>
          <w:szCs w:val="18"/>
          <w:u w:val="single"/>
          <w:lang w:eastAsia="es-ES"/>
        </w:rPr>
      </w:r>
    </w:p>
    <w:tbl>
      <w:tblPr>
        <w:tblStyle w:val="Cuadrculamedia1-nfasis6"/>
        <w:tblW w:w="6610" w:type="dxa"/>
        <w:jc w:val="center"/>
        <w:tblInd w:w="0" w:type="dxa"/>
        <w:shd w:fill="FDE4D0" w:val="clear"/>
        <w:tblLayout w:type="fixed"/>
        <w:tblCellMar>
          <w:top w:w="0" w:type="dxa"/>
          <w:left w:w="70" w:type="dxa"/>
          <w:bottom w:w="0" w:type="dxa"/>
          <w:right w:w="70" w:type="dxa"/>
        </w:tblCellMar>
        <w:tblLook w:firstRow="0" w:noVBand="0" w:lastRow="0" w:firstColumn="0" w:lastColumn="0" w:noHBand="0" w:val="0000"/>
      </w:tblPr>
      <w:tblGrid>
        <w:gridCol w:w="1357"/>
        <w:gridCol w:w="3190"/>
        <w:gridCol w:w="2063"/>
      </w:tblGrid>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cnfStyle w:val="000010000000" w:firstRow="0" w:lastRow="0" w:firstColumn="0" w:lastColumn="0" w:oddVBand="1" w:evenVBand="0" w:oddHBand="0" w:evenHBand="0" w:firstRowFirstColumn="0" w:firstRowLastColumn="0" w:lastRowFirstColumn="0" w:lastRowLastColumn="0"/>
            <w:tcBorders>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CIUDAD</w:t>
            </w:r>
          </w:p>
        </w:tc>
        <w:tc>
          <w:tcPr>
            <w:tcW w:w="3190" w:type="dxa"/>
            <w:tcBorders>
              <w:left w:val="single" w:sz="6" w:space="0" w:color="F9B074"/>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HOTEL</w:t>
            </w:r>
          </w:p>
        </w:tc>
        <w:tc>
          <w:tcPr>
            <w:tcW w:w="2063" w:type="dxa"/>
            <w:cnfStyle w:val="000010000000" w:firstRow="0" w:lastRow="0" w:firstColumn="0" w:lastColumn="0" w:oddVBand="1" w:evenVBand="0" w:oddHBand="0" w:evenHBand="0" w:firstRowFirstColumn="0" w:firstRowLastColumn="0" w:lastRowFirstColumn="0" w:lastRowLastColumn="0"/>
            <w:tcBorders>
              <w:left w:val="single" w:sz="6" w:space="0" w:color="F9B074"/>
              <w:bottom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r>
      <w:tr>
        <w:trPr>
          <w:trHeight w:val="397" w:hRule="atLeast"/>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Vancouver</w:t>
            </w:r>
          </w:p>
        </w:tc>
        <w:tc>
          <w:tcPr>
            <w:tcW w:w="3190" w:type="dxa"/>
            <w:tcBorders>
              <w:top w:val="single" w:sz="6" w:space="0" w:color="F9B074"/>
              <w:left w:val="single" w:sz="6" w:space="0" w:color="F9B074"/>
              <w:bottom w:val="single" w:sz="6" w:space="0" w:color="F9B074"/>
              <w:right w:val="single" w:sz="6" w:space="0" w:color="F9B074"/>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Georgian Court</w:t>
            </w:r>
          </w:p>
        </w:tc>
        <w:tc>
          <w:tcPr>
            <w:tcW w:w="2063" w:type="dxa"/>
            <w:vMerge w:val="restart"/>
            <w:tcBorders>
              <w:top w:val="single" w:sz="6" w:space="0" w:color="F9B074"/>
              <w:left w:val="single" w:sz="6" w:space="0" w:color="F9B074"/>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kern w:val="0"/>
                <w:sz w:val="18"/>
                <w:szCs w:val="18"/>
                <w:lang w:val="es-ES" w:eastAsia="es-ES" w:bidi="ar-SA"/>
              </w:rPr>
              <w:t>Primera</w:t>
            </w:r>
          </w:p>
          <w:p>
            <w:pPr>
              <w:pStyle w:val="Normal"/>
              <w:widowControl w:val="false"/>
              <w:suppressAutoHyphens w:val="true"/>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Jasper</w:t>
            </w:r>
          </w:p>
        </w:tc>
        <w:tc>
          <w:tcPr>
            <w:tcW w:w="3190" w:type="dxa"/>
            <w:tcBorders>
              <w:top w:val="single" w:sz="6" w:space="0" w:color="F9B074"/>
              <w:left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Crimson Hotel</w:t>
            </w:r>
          </w:p>
        </w:tc>
        <w:tc>
          <w:tcPr>
            <w:tcW w:w="2063" w:type="dxa"/>
            <w:vMerge w:val="continue"/>
            <w:tcBorders>
              <w:top w:val="single" w:sz="6" w:space="0" w:color="F9B074"/>
              <w:left w:val="single" w:sz="6" w:space="0" w:color="F9B074"/>
              <w:bottom w:val="single" w:sz="6" w:space="0" w:color="F9B074"/>
            </w:tcBorders>
            <w:shd w:color="auto" w:fill="FFFFFF" w:themeFill="background1" w:val="clear"/>
            <w:vAlign w:val="center"/>
          </w:tcPr>
          <w:p>
            <w:pPr>
              <w:pStyle w:val="Normal"/>
              <w:widowControl w:val="false"/>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sz w:val="22"/>
                <w:szCs w:val="18"/>
                <w:lang w:eastAsia="es-ES"/>
              </w:rPr>
            </w:r>
          </w:p>
        </w:tc>
      </w:tr>
      <w:tr>
        <w:trPr>
          <w:trHeight w:val="397" w:hRule="atLeast"/>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Banff</w:t>
            </w:r>
          </w:p>
        </w:tc>
        <w:tc>
          <w:tcPr>
            <w:tcW w:w="3190" w:type="dxa"/>
            <w:tcBorders>
              <w:top w:val="single" w:sz="6" w:space="0" w:color="F9B074"/>
              <w:left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n-US" w:bidi="ar-SA"/>
              </w:rPr>
              <w:t>Mount Royal</w:t>
            </w:r>
          </w:p>
        </w:tc>
        <w:tc>
          <w:tcPr>
            <w:tcW w:w="2063" w:type="dxa"/>
            <w:vMerge w:val="continue"/>
            <w:tcBorders>
              <w:top w:val="single" w:sz="6" w:space="0" w:color="F9B074"/>
              <w:lef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sz w:val="22"/>
                <w:szCs w:val="18"/>
                <w:lang w:eastAsia="es-ES"/>
              </w:rPr>
            </w:r>
          </w:p>
        </w:tc>
      </w:tr>
    </w:tbl>
    <w:p>
      <w:pPr>
        <w:pStyle w:val="Normal"/>
        <w:spacing w:lineRule="auto" w:line="240" w:before="0" w:after="0"/>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t>Nota: El hotelería será reconfirmados 30 días antes de la salida. Los hoteles serán confirmados en base a los publicados en el programa, pudiendo variar en función de la disponibilidad en el momento de recibir la solicitud de reserva. Las habitaciones de los hoteles son categoría estándar, que en la mayoría de los casos no tiene vistas. En caso de requerir vistas específicas no dude en consultar suplemento.</w:t>
      </w:r>
    </w:p>
    <w:p>
      <w:pPr>
        <w:pStyle w:val="Normal"/>
        <w:spacing w:lineRule="auto" w:line="240" w:before="0" w:after="0"/>
        <w:rPr>
          <w:rFonts w:ascii="Arial" w:hAnsi="Arial" w:eastAsia="Times New Roman" w:cs="Arial"/>
          <w:b/>
          <w:b/>
          <w:i/>
          <w:i/>
          <w:iCs/>
          <w:color w:val="E36C0A" w:themeColor="accent6" w:themeShade="bf"/>
          <w:sz w:val="20"/>
          <w:szCs w:val="20"/>
          <w:u w:val="single"/>
          <w:lang w:eastAsia="es-ES"/>
        </w:rPr>
      </w:pPr>
      <w:r>
        <w:rPr>
          <w:rFonts w:eastAsia="Times New Roman" w:cs="Arial" w:ascii="Arial" w:hAnsi="Arial"/>
          <w:b/>
          <w:i/>
          <w:iCs/>
          <w:color w:val="E36C0A" w:themeColor="accent6" w:themeShade="bf"/>
          <w:sz w:val="20"/>
          <w:szCs w:val="20"/>
          <w:u w:val="single"/>
          <w:lang w:eastAsia="es-ES"/>
        </w:rPr>
      </w:r>
    </w:p>
    <w:p>
      <w:pPr>
        <w:pStyle w:val="Normal"/>
        <w:spacing w:lineRule="auto" w:line="240" w:before="0" w:after="0"/>
        <w:rPr>
          <w:rFonts w:ascii="Arial" w:hAnsi="Arial" w:eastAsia="Times New Roman" w:cs="Arial"/>
          <w:b/>
          <w:b/>
          <w:color w:val="E36C0A" w:themeColor="accent6" w:themeShade="bf"/>
          <w:sz w:val="18"/>
          <w:szCs w:val="20"/>
          <w:lang w:eastAsia="es-ES"/>
        </w:rPr>
      </w:pPr>
      <w:r>
        <w:rPr>
          <w:rFonts w:eastAsia="Times New Roman" w:cs="Arial" w:ascii="Arial" w:hAnsi="Arial"/>
          <w:b/>
          <w:color w:val="E36C0A" w:themeColor="accent6" w:themeShade="bf"/>
          <w:sz w:val="18"/>
          <w:szCs w:val="20"/>
          <w:u w:val="single"/>
          <w:lang w:eastAsia="es-ES"/>
        </w:rPr>
        <w:t>PRECIO POR PERSONA EN USD</w:t>
      </w:r>
      <w:r>
        <w:rPr>
          <w:rFonts w:eastAsia="Times New Roman" w:cs="Arial" w:ascii="Arial" w:hAnsi="Arial"/>
          <w:b/>
          <w:color w:val="E36C0A" w:themeColor="accent6" w:themeShade="bf"/>
          <w:sz w:val="18"/>
          <w:szCs w:val="20"/>
          <w:lang w:eastAsia="es-ES"/>
        </w:rPr>
        <w:t xml:space="preserve">:  </w:t>
      </w:r>
    </w:p>
    <w:p>
      <w:pPr>
        <w:pStyle w:val="Normal"/>
        <w:spacing w:lineRule="auto" w:line="240" w:before="0" w:after="0"/>
        <w:rPr>
          <w:rFonts w:ascii="Arial" w:hAnsi="Arial" w:eastAsia="Times New Roman" w:cs="Arial"/>
          <w:b/>
          <w:b/>
          <w:color w:val="E36C0A" w:themeColor="accent6" w:themeShade="bf"/>
          <w:sz w:val="14"/>
          <w:szCs w:val="16"/>
          <w:lang w:eastAsia="es-ES"/>
        </w:rPr>
      </w:pPr>
      <w:r>
        <w:rPr>
          <w:rFonts w:eastAsia="Times New Roman" w:cs="Arial" w:ascii="Arial" w:hAnsi="Arial"/>
          <w:b/>
          <w:color w:val="E36C0A" w:themeColor="accent6" w:themeShade="bf"/>
          <w:sz w:val="14"/>
          <w:szCs w:val="16"/>
          <w:lang w:eastAsia="es-ES"/>
        </w:rPr>
      </w:r>
    </w:p>
    <w:tbl>
      <w:tblPr>
        <w:tblW w:w="5507"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283"/>
        <w:gridCol w:w="1685"/>
        <w:gridCol w:w="1539"/>
      </w:tblGrid>
      <w:tr>
        <w:trPr>
          <w:trHeight w:val="397" w:hRule="atLeast"/>
        </w:trPr>
        <w:tc>
          <w:tcPr>
            <w:tcW w:w="5507" w:type="dxa"/>
            <w:gridSpan w:val="3"/>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CLASE CABINA</w:t>
            </w:r>
          </w:p>
        </w:tc>
      </w:tr>
      <w:tr>
        <w:trPr>
          <w:trHeight w:val="397" w:hRule="atLeast"/>
        </w:trPr>
        <w:tc>
          <w:tcPr>
            <w:tcW w:w="2283"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MIÉRCOLES Y SÁBADOS</w:t>
            </w:r>
          </w:p>
        </w:tc>
        <w:tc>
          <w:tcPr>
            <w:tcW w:w="168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INVIDUAL</w:t>
            </w:r>
          </w:p>
        </w:tc>
        <w:tc>
          <w:tcPr>
            <w:tcW w:w="1539"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2283"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01/11/23 - 12/04/24</w:t>
            </w:r>
          </w:p>
        </w:tc>
        <w:tc>
          <w:tcPr>
            <w:tcW w:w="168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4,981</w:t>
            </w:r>
          </w:p>
        </w:tc>
        <w:tc>
          <w:tcPr>
            <w:tcW w:w="1539"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2,643</w:t>
            </w:r>
          </w:p>
        </w:tc>
      </w:tr>
    </w:tbl>
    <w:p>
      <w:pPr>
        <w:pStyle w:val="Normal"/>
        <w:spacing w:lineRule="auto" w:line="240" w:before="0" w:after="0"/>
        <w:rPr>
          <w:rFonts w:ascii="Arial" w:hAnsi="Arial" w:eastAsia="Times New Roman" w:cs="Arial"/>
          <w:b/>
          <w:b/>
          <w:color w:val="E36C0A" w:themeColor="accent6" w:themeShade="bf"/>
          <w:sz w:val="8"/>
          <w:szCs w:val="10"/>
          <w:lang w:eastAsia="es-ES"/>
        </w:rPr>
      </w:pPr>
      <w:r>
        <w:rPr>
          <w:rFonts w:eastAsia="Times New Roman" w:cs="Arial" w:ascii="Arial" w:hAnsi="Arial"/>
          <w:b/>
          <w:color w:val="E36C0A" w:themeColor="accent6" w:themeShade="bf"/>
          <w:sz w:val="8"/>
          <w:szCs w:val="10"/>
          <w:lang w:eastAsia="es-ES"/>
        </w:rPr>
      </w:r>
    </w:p>
    <w:tbl>
      <w:tblPr>
        <w:tblW w:w="5589"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392"/>
        <w:gridCol w:w="1671"/>
        <w:gridCol w:w="1526"/>
      </w:tblGrid>
      <w:tr>
        <w:trPr>
          <w:trHeight w:val="397" w:hRule="atLeast"/>
        </w:trPr>
        <w:tc>
          <w:tcPr>
            <w:tcW w:w="5589" w:type="dxa"/>
            <w:gridSpan w:val="3"/>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CLASE PRESTIGE</w:t>
            </w:r>
          </w:p>
        </w:tc>
      </w:tr>
      <w:tr>
        <w:trPr>
          <w:trHeight w:val="397" w:hRule="atLeast"/>
        </w:trPr>
        <w:tc>
          <w:tcPr>
            <w:tcW w:w="2392"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MIÉRCOLES Y SÁBADOS</w:t>
            </w:r>
          </w:p>
        </w:tc>
        <w:tc>
          <w:tcPr>
            <w:tcW w:w="1671"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INVIDUAL</w:t>
            </w:r>
          </w:p>
        </w:tc>
        <w:tc>
          <w:tcPr>
            <w:tcW w:w="152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2392"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01/11/23 - 12/04/24</w:t>
            </w:r>
          </w:p>
        </w:tc>
        <w:tc>
          <w:tcPr>
            <w:tcW w:w="1671"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7,318</w:t>
            </w:r>
          </w:p>
        </w:tc>
        <w:tc>
          <w:tcPr>
            <w:tcW w:w="152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3,817</w:t>
            </w:r>
          </w:p>
        </w:tc>
      </w:tr>
    </w:tbl>
    <w:p>
      <w:pPr>
        <w:pStyle w:val="Normal"/>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t xml:space="preserve">Prestige: cabina espaciosa 50 % más grande que nuestra cabina para dos personas en la clase Sleeper Plus, con una amplia ventana panorámica 60 % más grande, sofá de piel modular en forma de L durante el día y cama Murphy para dos personas por la noche. Baño privado con ducha, televisor de pantalla plana con selección de video, </w:t>
      </w:r>
    </w:p>
    <w:p>
      <w:pPr>
        <w:pStyle w:val="Normal"/>
        <w:jc w:val="both"/>
        <w:rPr>
          <w:rFonts w:ascii="Arial" w:hAnsi="Arial" w:cs="Arial"/>
          <w:b/>
          <w:b/>
          <w:bCs/>
          <w:i/>
          <w:i/>
          <w:iCs/>
          <w:color w:val="000000" w:themeColor="text1"/>
          <w:sz w:val="8"/>
          <w:szCs w:val="8"/>
        </w:rPr>
      </w:pPr>
      <w:r>
        <w:rPr>
          <w:rFonts w:cs="Arial" w:ascii="Arial" w:hAnsi="Arial"/>
          <w:b/>
          <w:bCs/>
          <w:i/>
          <w:iCs/>
          <w:color w:val="000000" w:themeColor="text1"/>
          <w:sz w:val="8"/>
          <w:szCs w:val="8"/>
        </w:rPr>
      </w:r>
    </w:p>
    <w:p>
      <w:pPr>
        <w:pStyle w:val="Normal"/>
        <w:jc w:val="both"/>
        <w:rPr>
          <w:rFonts w:ascii="Arial" w:hAnsi="Arial" w:cs="Arial"/>
          <w:b/>
          <w:b/>
          <w:bCs/>
          <w:i/>
          <w:i/>
          <w:iCs/>
          <w:color w:val="000000" w:themeColor="text1"/>
          <w:sz w:val="18"/>
          <w:szCs w:val="18"/>
        </w:rPr>
      </w:pPr>
      <w:r>
        <w:rPr>
          <w:rFonts w:cs="Arial" w:ascii="Arial" w:hAnsi="Arial"/>
          <w:b/>
          <w:bCs/>
          <w:i/>
          <w:iCs/>
          <w:color w:val="000000" w:themeColor="text1"/>
          <w:sz w:val="18"/>
          <w:szCs w:val="18"/>
        </w:rPr>
        <w:t>minibar lleno con bebidas selectas, servicio de bar de cortesía, cabina con calefacción eléctrica, asientos prioritarios en el vagón comedor, servicio de concierge a lo largo de todo el viaje</w:t>
      </w:r>
      <w:r>
        <w:rPr>
          <w:rFonts w:cs="Arial" w:ascii="Arial" w:hAnsi="Arial"/>
          <w:color w:val="262626" w:themeColor="text1" w:themeTint="d9"/>
          <w:sz w:val="18"/>
          <w:szCs w:val="18"/>
        </w:rPr>
        <w:t>.</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4"/>
        </w:numPr>
        <w:jc w:val="both"/>
        <w:textAlignment w:val="baseline"/>
        <w:rPr>
          <w:rFonts w:ascii="Arial" w:hAnsi="Arial" w:cs="Arial"/>
          <w:b/>
          <w:b/>
          <w:i/>
          <w:i/>
          <w:color w:val="000000" w:themeColor="text1"/>
          <w:sz w:val="18"/>
          <w:szCs w:val="18"/>
          <w:lang w:val="es-ES_tradnl" w:eastAsia="es-ES"/>
        </w:rPr>
      </w:pPr>
      <w:r>
        <w:rPr>
          <w:rFonts w:cs="Arial" w:ascii="Arial" w:hAnsi="Arial"/>
          <w:color w:val="000000" w:themeColor="text1"/>
          <w:sz w:val="18"/>
          <w:szCs w:val="18"/>
          <w:lang w:val="es-ES_tradnl" w:eastAsia="es-ES"/>
        </w:rPr>
        <w:t xml:space="preserve">Traslados aeropuerto – hotel – aeropuerto en </w:t>
      </w:r>
      <w:r>
        <w:rPr>
          <w:rFonts w:cs="Arial" w:ascii="Arial" w:hAnsi="Arial"/>
          <w:b/>
          <w:i/>
          <w:color w:val="000000" w:themeColor="text1"/>
          <w:sz w:val="18"/>
          <w:szCs w:val="18"/>
          <w:lang w:val="es-ES_tradnl" w:eastAsia="es-ES"/>
        </w:rPr>
        <w:t>servicio regular en horario diurno</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02 noches en alojamiento en Vancouver en régimen de solo alojamiento</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01 noche a bordo del tren Via Rail (cena y desayuno)</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02 noches en Japer en régimen solo alojamiento </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02 noches en Banff en régimen solo alojamiento </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Habitaciones estándar </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Entrada a los Parques Nacionales</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 xml:space="preserve">Traslados en español en Vancouver: Traslado de entrada y traslado al tren </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rPr>
        <w:t>Traslados en inglés: Traslado Jasper-Banff / Traslado Banff-Calgary / Traslado Calgary-Banff. Y tour de Lake Louis</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Guía de habla hispana, exceptuando las actividades o traslados mencionados en el programa como “solo inglés”</w:t>
      </w:r>
    </w:p>
    <w:p>
      <w:pPr>
        <w:pStyle w:val="NoSpacing"/>
        <w:widowControl w:val="false"/>
        <w:numPr>
          <w:ilvl w:val="0"/>
          <w:numId w:val="4"/>
        </w:numPr>
        <w:jc w:val="both"/>
        <w:textAlignment w:val="baseline"/>
        <w:rPr>
          <w:rFonts w:ascii="Arial" w:hAnsi="Arial" w:cs="Arial"/>
          <w:b/>
          <w:b/>
          <w:i/>
          <w:i/>
          <w:color w:val="000000" w:themeColor="text1"/>
          <w:sz w:val="18"/>
          <w:szCs w:val="18"/>
          <w:lang w:val="es-ES_tradnl" w:eastAsia="es-ES"/>
        </w:rPr>
      </w:pPr>
      <w:r>
        <w:rPr>
          <w:rFonts w:cs="Arial" w:ascii="Arial" w:hAnsi="Arial"/>
          <w:b/>
          <w:i/>
          <w:color w:val="000000" w:themeColor="text1"/>
          <w:sz w:val="18"/>
          <w:szCs w:val="18"/>
          <w:lang w:val="es-ES_tradnl" w:eastAsia="es-ES"/>
        </w:rPr>
        <w:t>Seguro de viaje con cobertura COVID</w:t>
      </w:r>
    </w:p>
    <w:p>
      <w:pPr>
        <w:pStyle w:val="NoSpacing"/>
        <w:widowControl w:val="false"/>
        <w:numPr>
          <w:ilvl w:val="0"/>
          <w:numId w:val="4"/>
        </w:numPr>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Asistencia en español 24hrs</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NO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Vancouver – Calgary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alimentos y bebidas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Actividades opcionales y/o actividades no mencionadas en el itinerario como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rPr>
        <w:t>Alimentos, manejo de equipaje ni propinas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Ningún servicio no especificado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w:t>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_tradnl" w:eastAsia="es-ES"/>
        </w:rPr>
        <w:t xml:space="preserve">Autorización electrónica del Viaje </w:t>
      </w:r>
      <w:r>
        <w:rPr>
          <w:rFonts w:cs="Arial" w:ascii="Arial" w:hAnsi="Arial"/>
          <w:b/>
          <w:sz w:val="18"/>
          <w:szCs w:val="18"/>
          <w:lang w:val="es-ES_tradnl" w:eastAsia="es-ES"/>
        </w:rPr>
        <w:t>eTA para Canadá</w:t>
      </w:r>
      <w:r>
        <w:rPr>
          <w:rFonts w:cs="Arial" w:ascii="Arial" w:hAnsi="Arial"/>
          <w:sz w:val="18"/>
          <w:szCs w:val="18"/>
          <w:lang w:val="es-ES_tradnl" w:eastAsia="es-ES"/>
        </w:rPr>
        <w:tab/>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b/>
          <w:sz w:val="18"/>
          <w:szCs w:val="18"/>
          <w:lang w:val="es-ES_tradnl" w:eastAsia="es-ES"/>
        </w:rPr>
        <w:t>Requisitos de ingreso COVID</w:t>
      </w:r>
    </w:p>
    <w:p>
      <w:pPr>
        <w:pStyle w:val="NoSpacing"/>
        <w:widowControl w:val="false"/>
        <w:ind w:left="720" w:hanging="0"/>
        <w:jc w:val="both"/>
        <w:textAlignment w:val="baseline"/>
        <w:rPr>
          <w:rFonts w:ascii="Arial" w:hAnsi="Arial" w:cs="Arial"/>
          <w:b/>
          <w:b/>
          <w:color w:val="E36C0A" w:themeColor="accent6" w:themeShade="bf"/>
          <w:sz w:val="18"/>
          <w:szCs w:val="18"/>
          <w:u w:val="single"/>
          <w:lang w:val="es-MX" w:eastAsia="es-ES"/>
        </w:rPr>
      </w:pPr>
      <w:r>
        <w:rPr>
          <w:rFonts w:cs="Arial" w:ascii="Arial" w:hAnsi="Arial"/>
          <w:b/>
          <w:color w:val="E36C0A" w:themeColor="accent6" w:themeShade="bf"/>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NOTAS IMPORTANTES: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La vigencia del pasaporte debe tener mínimo seis meses a partir de la fecha del inicio de su viaje.</w:t>
      </w:r>
    </w:p>
    <w:p>
      <w:pPr>
        <w:pStyle w:val="ListParagraph"/>
        <w:widowControl w:val="false"/>
        <w:numPr>
          <w:ilvl w:val="0"/>
          <w:numId w:val="2"/>
        </w:numPr>
        <w:jc w:val="both"/>
        <w:textAlignment w:val="baseline"/>
        <w:rPr>
          <w:rFonts w:ascii="Arial" w:hAnsi="Arial" w:cs="Arial"/>
          <w:sz w:val="18"/>
          <w:szCs w:val="18"/>
          <w:lang w:eastAsia="es-ES"/>
        </w:rPr>
      </w:pPr>
      <w:r>
        <w:rPr>
          <w:rFonts w:cs="Arial" w:ascii="Arial" w:hAnsi="Arial"/>
          <w:b/>
          <w:sz w:val="18"/>
          <w:szCs w:val="18"/>
          <w:lang w:val="es-ES_tradnl" w:eastAsia="es-ES"/>
        </w:rPr>
        <w:t>L</w:t>
      </w:r>
      <w:r>
        <w:rPr>
          <w:rFonts w:cs="Arial" w:ascii="Arial" w:hAnsi="Arial"/>
          <w:b/>
          <w:sz w:val="18"/>
          <w:szCs w:val="18"/>
          <w:lang w:eastAsia="es-ES"/>
        </w:rPr>
        <w:t xml:space="preserve">os ciudadanos mexicanos que estén interesados en </w:t>
      </w:r>
      <w:r>
        <w:rPr>
          <w:rFonts w:cs="Arial" w:ascii="Arial" w:hAnsi="Arial"/>
          <w:b/>
          <w:sz w:val="18"/>
          <w:szCs w:val="18"/>
          <w:u w:val="single"/>
          <w:lang w:eastAsia="es-ES"/>
        </w:rPr>
        <w:t>viajar a Canadá no necesitarán visa</w:t>
      </w:r>
      <w:r>
        <w:rPr>
          <w:rFonts w:cs="Arial" w:ascii="Arial" w:hAnsi="Arial"/>
          <w:b/>
          <w:sz w:val="18"/>
          <w:szCs w:val="18"/>
          <w:lang w:eastAsia="es-ES"/>
        </w:rPr>
        <w:t>,</w:t>
      </w:r>
      <w:r>
        <w:rPr>
          <w:rFonts w:cs="Arial" w:ascii="Arial" w:hAnsi="Arial"/>
          <w:sz w:val="18"/>
          <w:szCs w:val="18"/>
          <w:lang w:eastAsia="es-ES"/>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Tourmundial no se hace responsable de los atrasos o irregularidades que puedan ocurrir a los pasajeros con el transporte, ya sea aéreo o terrestre (tráfico, descomposturas, averías, nieve en autovías, etc...).</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Todos los servicios del tren son de habla inglesa, los servicios de servicios terrestres son de habla hispana.</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El precio del viaje ha sido calculado en base a tipos de cambio, tarifas de transporte, combustible y tasas e impuestos aplicables en la fecha de edición del folleto o de posteriores que, en su caso, se hayan hecho públicas de manera impresa. Estas modificaciones serán notificadas por cualquier medio, pudiendo desistir del viaje, sin penalización, o aceptar la modificación.</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El hotelería será reconfirmados 30 días antes de la salida. Los hoteles serán confirmados en base a los publicados en el programa, pudiendo variar en función de la disponibilidad en el momento de recibir la solicitud de reserva. En caso de no poder ofrecer los hoteles del programa, se ofrecerán otros hoteles de categoría similar a la solicitada, quedando esto último especificado en nuestra respuesta a la reserva. Una vez aceptada, no aplicará ninguna reclamación por el cambio de hoteles. Las habitaciones de los hoteles son categoría estándar, que en la mayoría de los casos no tiene vistas. En caso de requerir vistas específicas no dude en consultar suplemento.</w:t>
      </w:r>
    </w:p>
    <w:p>
      <w:pPr>
        <w:pStyle w:val="ListParagraph"/>
        <w:widowControl w:val="false"/>
        <w:jc w:val="both"/>
        <w:textAlignment w:val="baseline"/>
        <w:rPr>
          <w:rFonts w:ascii="Arial" w:hAnsi="Arial" w:cs="Arial"/>
          <w:sz w:val="18"/>
          <w:szCs w:val="18"/>
        </w:rPr>
      </w:pPr>
      <w:r>
        <w:rPr>
          <w:rFonts w:cs="Arial" w:ascii="Arial" w:hAnsi="Arial"/>
          <w:sz w:val="18"/>
          <w:szCs w:val="18"/>
        </w:rPr>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Todos los hoteles en Canadá exigen al pasajero una tarjeta de crédito o un depósito en efectivo para como garantía poder facilitar los servicios de llamadas telefónicas, minibar, lavandería, cargos por servicio de habitación, etc.</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En los casos en que se requiera cambio de hotel por no poder confirmar toda la estancia, los traslados de un hotel a otro durante la estancia de los pasajeros no están incluidos. 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La cabina cotizada en Via Rail una distribución de literas con aseo (sin ducha), las duchas son compartidas por todos los clientes del vagón. En el tren The Canadian de Via Rail hay disponible la categoría Sleeper Plus con comidas gourmet, uso exclusivo de los vagones Skyline con salas de estar, y acceso a los asientos del mirador panorámico y baño completo en la cabina.</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No se incluye manejo de equipaje en los aeropuertos. El cargo por maleta es de $5 por pieza, por movimiento.</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En caso de extravío de equipaje por parte de las líneas aéreas, será responsabilidad del pasajero llamar directamente a la línea aérea para tramitar la entrega o compensación que pueda aplicar. Dominion Tours Inc. no se hará responsable de ninguna tramitación.</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 La única excepción se considerará si el pasajero llama a nuestra oficina antes de dicho lapso de tiempo para informar de su retraso y quedará a discreción de Dominion Tours Inc. ofrecer el servicio en un horario diferente.</w:t>
      </w:r>
    </w:p>
    <w:p>
      <w:pPr>
        <w:pStyle w:val="ListParagraph"/>
        <w:widowControl w:val="false"/>
        <w:numPr>
          <w:ilvl w:val="0"/>
          <w:numId w:val="7"/>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Consulte suplemento para traslados desde y/o hasta el aeropuerto en horario nocturno.</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La propina es obligatoria en Canadá, oscilando del 15%, 18% o 20% dependiendo del establecimiento. Propinas para maleteros en aeropuertos CAD$ 3.00, en hoteles CAD $ 4.00 a $5.00 por pieza, guías y/o conductores CAD$ $ 8.00 por persona p/día.</w:t>
      </w:r>
    </w:p>
    <w:p>
      <w:pPr>
        <w:pStyle w:val="ListParagraph"/>
        <w:widowControl w:val="false"/>
        <w:numPr>
          <w:ilvl w:val="0"/>
          <w:numId w:val="7"/>
        </w:numPr>
        <w:jc w:val="both"/>
        <w:textAlignment w:val="baseline"/>
        <w:rPr>
          <w:rFonts w:ascii="Arial" w:hAnsi="Arial" w:cs="Arial"/>
          <w:sz w:val="18"/>
          <w:szCs w:val="18"/>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ListParagraph"/>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 xml:space="preserve">Para poder confirmar los traslados debemos de recibir la información completa de vuelos por lo </w:t>
      </w:r>
      <w:r>
        <w:rPr>
          <w:rFonts w:cs="Arial" w:ascii="Arial" w:hAnsi="Arial"/>
          <w:b/>
          <w:sz w:val="18"/>
          <w:szCs w:val="18"/>
          <w:u w:val="single"/>
          <w:lang w:val="es-ES_tradnl" w:eastAsia="es-ES"/>
        </w:rPr>
        <w:t>menos 10 días hábiles antes de</w:t>
      </w:r>
      <w:r>
        <w:rPr>
          <w:rFonts w:cs="Arial" w:ascii="Arial" w:hAnsi="Arial"/>
          <w:b/>
          <w:sz w:val="18"/>
          <w:szCs w:val="18"/>
          <w:lang w:val="es-ES_tradnl" w:eastAsia="es-ES"/>
        </w:rPr>
        <w:t xml:space="preserve"> la fecha de salida, en caso contrario no se podrá proporcionar los servicios de traslados de entrada y/o salida, y no serán reembolsables.</w:t>
      </w:r>
    </w:p>
    <w:p>
      <w:pPr>
        <w:pStyle w:val="Normal"/>
        <w:spacing w:lineRule="auto" w:line="240" w:before="0" w:after="0"/>
        <w:rPr>
          <w:rFonts w:ascii="Arial" w:hAnsi="Arial" w:eastAsia="Times New Roman" w:cs="Arial"/>
          <w:b/>
          <w:b/>
          <w:color w:val="FF0000"/>
          <w:sz w:val="18"/>
          <w:szCs w:val="18"/>
          <w:lang w:val="es-ES_tradnl" w:eastAsia="es-ES"/>
        </w:rPr>
      </w:pPr>
      <w:r>
        <w:rPr>
          <w:rFonts w:eastAsia="Times New Roman" w:cs="Arial" w:ascii="Arial" w:hAnsi="Arial"/>
          <w:b/>
          <w:color w:val="FF0000"/>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Spacing"/>
        <w:widowControl w:val="false"/>
        <w:jc w:val="both"/>
        <w:textAlignment w:val="baseline"/>
        <w:rPr>
          <w:rFonts w:ascii="Arial" w:hAnsi="Arial" w:cs="Arial"/>
          <w:color w:val="FF0000"/>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www.tourmundial.com.mx</w:t>
        </w:r>
      </w:hyperlink>
      <w:r>
        <w:rPr>
          <w:rFonts w:cs="Arial" w:ascii="Arial" w:hAnsi="Arial"/>
          <w:sz w:val="18"/>
          <w:szCs w:val="18"/>
          <w:lang w:val="es-ES"/>
        </w:rPr>
        <w:tab/>
      </w:r>
      <w:r>
        <w:rPr>
          <w:rFonts w:cs="Arial" w:ascii="Arial" w:hAnsi="Arial"/>
          <w:color w:val="FF0000"/>
          <w:sz w:val="18"/>
          <w:szCs w:val="18"/>
          <w:lang w:val="es-ES"/>
        </w:rPr>
        <w:tab/>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center"/>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t>VIGENCIA DEL 01 DE NOVIEMBRE 2024 AL 23 DE ABRIL 2025</w:t>
      </w:r>
    </w:p>
    <w:p>
      <w:pPr>
        <w:pStyle w:val="NoSpacing"/>
        <w:widowControl w:val="false"/>
        <w:jc w:val="center"/>
        <w:textAlignment w:val="baseline"/>
        <w:rPr>
          <w:rFonts w:ascii="Arial" w:hAnsi="Arial" w:cs="Arial"/>
          <w:b/>
          <w:b/>
          <w:sz w:val="18"/>
          <w:szCs w:val="18"/>
          <w:lang w:val="es-ES" w:eastAsia="es-ES"/>
        </w:rPr>
      </w:pPr>
      <w:r>
        <w:rPr>
          <w:rFonts w:cs="Arial" w:ascii="Arial" w:hAnsi="Arial"/>
          <w:b/>
          <w:sz w:val="18"/>
          <w:szCs w:val="18"/>
          <w:highlight w:val="cyan"/>
          <w:lang w:val="es-ES" w:eastAsia="es-ES"/>
        </w:rPr>
        <w:t>PARA SOLICITAR RESERVA, SE REQUIERE DE PREPAGO</w:t>
      </w:r>
      <w:r>
        <w:rPr>
          <w:rFonts w:cs="Arial" w:ascii="Arial" w:hAnsi="Arial"/>
          <w:b/>
          <w:sz w:val="18"/>
          <w:szCs w:val="18"/>
          <w:highlight w:val="cyan"/>
        </w:rPr>
        <w:t xml:space="preserve"> 100% DE A PORCIÓN DEL TREN PARA PODER GARANTIZAR LA RESERVA</w:t>
      </w:r>
    </w:p>
    <w:tbl>
      <w:tblPr>
        <w:tblStyle w:val="Sombreadomedio1-nfasis6"/>
        <w:tblW w:w="82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218"/>
      </w:tblGrid>
      <w:tr>
        <w:trPr>
          <w:trHeight w:val="298" w:hRule="atLeast"/>
          <w:cnfStyle w:val="100000000000" w:firstRow="1" w:lastRow="0" w:firstColumn="0" w:lastColumn="0" w:oddVBand="0" w:evenVBand="0" w:oddHBand="0" w:evenHBand="0" w:firstRowFirstColumn="0" w:firstRowLastColumn="0" w:lastRowFirstColumn="0" w:lastRowLastColumn="0"/>
        </w:trPr>
        <w:tc>
          <w:tcPr>
            <w:tcW w:w="8218"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color w:val="auto"/>
                <w:sz w:val="18"/>
                <w:szCs w:val="18"/>
                <w:u w:val="single"/>
                <w:lang w:val="es-ES" w:eastAsia="es-ES"/>
              </w:rPr>
            </w:pPr>
            <w:r>
              <w:rPr>
                <w:rFonts w:cs="Arial" w:ascii="Arial" w:hAnsi="Arial"/>
                <w:b/>
                <w:bCs/>
                <w:color w:val="auto"/>
                <w:kern w:val="0"/>
                <w:sz w:val="18"/>
                <w:szCs w:val="18"/>
                <w:u w:val="single"/>
                <w:lang w:val="es-ES" w:eastAsia="es-ES" w:bidi="ar-SA"/>
              </w:rPr>
              <w:t>POLÍTICAS DE CANCELACIÓN</w:t>
            </w:r>
          </w:p>
        </w:tc>
      </w:tr>
      <w:tr>
        <w:trPr>
          <w:trHeight w:val="702" w:hRule="atLeast"/>
          <w:cnfStyle w:val="000000100000" w:firstRow="0" w:lastRow="0" w:firstColumn="0" w:lastColumn="0" w:oddVBand="0" w:evenVBand="0" w:oddHBand="1" w:evenHBand="0" w:firstRowFirstColumn="0" w:firstRowLastColumn="0" w:lastRowFirstColumn="0" w:lastRowLastColumn="0"/>
        </w:trPr>
        <w:tc>
          <w:tcPr>
            <w:tcW w:w="8218"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Una vez hecha la reserva aplican $</w:t>
            </w:r>
            <w:r>
              <w:rPr>
                <w:rFonts w:cs="Arial" w:ascii="Arial" w:hAnsi="Arial"/>
                <w:b/>
                <w:bCs/>
                <w:kern w:val="0"/>
                <w:sz w:val="18"/>
                <w:szCs w:val="18"/>
                <w:lang w:eastAsia="en-US" w:bidi="ar-SA"/>
              </w:rPr>
              <w:t>250</w:t>
            </w:r>
            <w:r>
              <w:rPr>
                <w:rFonts w:cs="Arial" w:ascii="Arial" w:hAnsi="Arial"/>
                <w:b/>
                <w:bCs/>
                <w:kern w:val="0"/>
                <w:sz w:val="18"/>
                <w:szCs w:val="18"/>
                <w:lang w:eastAsia="en-US" w:bidi="ar-SA"/>
              </w:rPr>
              <w:t xml:space="preserve"> CAD de gastos de cancelación del tren por persona (no reembolsable) </w:t>
            </w:r>
          </w:p>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30 días antes 20% del precio del programa.</w:t>
            </w:r>
          </w:p>
          <w:p>
            <w:pPr>
              <w:pStyle w:val="NoSpacing"/>
              <w:widowControl w:val="false"/>
              <w:numPr>
                <w:ilvl w:val="0"/>
                <w:numId w:val="6"/>
              </w:numPr>
              <w:suppressAutoHyphens w:val="true"/>
              <w:spacing w:before="0" w:after="0"/>
              <w:jc w:val="left"/>
              <w:textAlignment w:val="baseline"/>
              <w:rPr>
                <w:rFonts w:ascii="Arial" w:hAnsi="Arial" w:cs="Arial"/>
                <w:b w:val="false"/>
                <w:b w:val="false"/>
                <w:bCs w:val="false"/>
                <w:sz w:val="18"/>
                <w:szCs w:val="18"/>
              </w:rPr>
            </w:pPr>
            <w:r>
              <w:rPr>
                <w:rFonts w:cs="Arial" w:ascii="Arial" w:hAnsi="Arial"/>
                <w:b/>
                <w:bCs/>
                <w:kern w:val="0"/>
                <w:sz w:val="18"/>
                <w:szCs w:val="18"/>
                <w:lang w:eastAsia="en-US" w:bidi="ar-SA"/>
              </w:rPr>
              <w:t>29 y 15 días 50% del precio del programa.</w:t>
            </w:r>
          </w:p>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14 días o menos de la llegada 100%.</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eastAsia="en-US" w:bidi="ar-SA"/>
              </w:rPr>
              <w:t>45 días antes de la salida deberá realizarse el pago total de la reserva del viaje. De no procederse al pago en las condiciones señaladas, se entenderá que el consumidor desiste del viaje solicitado, siéndole de aplicación las condiciones previstas en el apartado de cancelación</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 caso de No Show, aplican 100% de cargos</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Servicios no utilizados son no reembolsables</w:t>
            </w:r>
          </w:p>
          <w:p>
            <w:pPr>
              <w:pStyle w:val="NoSpacing"/>
              <w:widowControl w:val="false"/>
              <w:suppressAutoHyphens w:val="true"/>
              <w:spacing w:before="0" w:after="0"/>
              <w:jc w:val="left"/>
              <w:textAlignment w:val="baseline"/>
              <w:rPr>
                <w:rFonts w:ascii="Arial" w:hAnsi="Arial" w:cs="Arial"/>
                <w:sz w:val="18"/>
                <w:szCs w:val="18"/>
                <w:lang w:val="es-ES_tradnl" w:eastAsia="es-ES"/>
              </w:rPr>
            </w:pPr>
            <w:r>
              <w:rPr>
                <w:rFonts w:cs="Arial" w:ascii="Arial" w:hAnsi="Arial"/>
                <w:b/>
                <w:bCs/>
                <w:sz w:val="18"/>
                <w:szCs w:val="18"/>
                <w:lang w:val="es-ES_tradnl" w:eastAsia="es-ES"/>
              </w:rPr>
            </w:r>
          </w:p>
        </w:tc>
      </w:tr>
    </w:tbl>
    <w:p>
      <w:pPr>
        <w:pStyle w:val="NoSpacing"/>
        <w:widowControl w:val="false"/>
        <w:jc w:val="center"/>
        <w:textAlignment w:val="baseline"/>
        <w:rPr>
          <w:rFonts w:ascii="Arial" w:hAnsi="Arial" w:cs="Arial"/>
          <w:b/>
          <w:b/>
          <w:sz w:val="18"/>
          <w:szCs w:val="18"/>
          <w:u w:val="single"/>
          <w:lang w:val="es-ES" w:eastAsia="es-ES"/>
        </w:rPr>
      </w:pPr>
      <w:r>
        <w:rPr>
          <w:rFonts w:cs="Arial" w:ascii="Arial" w:hAnsi="Arial"/>
          <w:b/>
          <w:sz w:val="18"/>
          <w:szCs w:val="18"/>
          <w:u w:val="single"/>
          <w:lang w:val="es-ES"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www.tourmundial.com.mx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jc w:val="right"/>
      <w:rPr>
        <w:b/>
        <w:b/>
      </w:rPr>
    </w:pPr>
    <w:r>
      <w:rPr>
        <w:b/>
      </w:rPr>
      <mc:AlternateContent>
        <mc:Choice Requires="wps">
          <w:drawing>
            <wp:anchor behindDoc="1" distT="12700" distB="12700" distL="13335" distR="12065" simplePos="0" locked="0" layoutInCell="0" allowOverlap="1" relativeHeight="6" wp14:anchorId="7BE74D10">
              <wp:simplePos x="0" y="0"/>
              <wp:positionH relativeFrom="column">
                <wp:posOffset>-1586230</wp:posOffset>
              </wp:positionH>
              <wp:positionV relativeFrom="paragraph">
                <wp:posOffset>-647700</wp:posOffset>
              </wp:positionV>
              <wp:extent cx="8599805" cy="1104265"/>
              <wp:effectExtent l="13335" t="12700" r="12065" b="12700"/>
              <wp:wrapNone/>
              <wp:docPr id="2" name="1 Rectángulo"/>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24.9pt;margin-top:-51pt;width:677.1pt;height:86.9pt;mso-wrap-style:none;v-text-anchor:middle" wp14:anchorId="7BE74D10">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11">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98"/>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65fc6"/>
    <w:pPr>
      <w:spacing w:lineRule="auto" w:line="240" w:beforeAutospacing="1" w:afterAutospacing="1"/>
    </w:pPr>
    <w:rPr>
      <w:rFonts w:ascii="Times New Roman" w:hAnsi="Times New Roman" w:eastAsia="Times New Roman" w:cs="Times New Roman"/>
      <w:sz w:val="24"/>
      <w:szCs w:val="24"/>
      <w:lang w:val="en-U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com.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com.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3.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432F7508-A9BE-4636-9D58-F1878D4F72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240</TotalTime>
  <Application>LibreOffice/7.3.5.2$Windows_X86_64 LibreOffice_project/184fe81b8c8c30d8b5082578aee2fed2ea847c01</Application>
  <AppVersion>15.0000</AppVersion>
  <Pages>5</Pages>
  <Words>2563</Words>
  <Characters>13024</Characters>
  <CharactersWithSpaces>15568</CharactersWithSpaces>
  <Paragraphs>115</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2023-07-17T19:38:00Z</dcterms:created>
  <dc:creator>V2784160</dc:creator>
  <dc:description/>
  <dc:language>es-MX</dc:language>
  <cp:lastModifiedBy/>
  <dcterms:modified xsi:type="dcterms:W3CDTF">2024-08-28T09:31:14Z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