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INVIERNO EN TORONTO Y NIAGARA</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68"/>
        <w:gridCol w:w="8357"/>
      </w:tblGrid>
      <w:tr>
        <w:trPr>
          <w:trHeight w:val="255" w:hRule="atLeast"/>
        </w:trPr>
        <w:tc>
          <w:tcPr>
            <w:tcW w:w="1468" w:type="dxa"/>
            <w:tcBorders>
              <w:top w:val="single" w:sz="4" w:space="0" w:color="E36C0A"/>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357"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Toronto– Cataratas del Niagara – Toronto</w:t>
            </w:r>
          </w:p>
        </w:tc>
      </w:tr>
      <w:tr>
        <w:trPr>
          <w:trHeight w:val="255" w:hRule="atLeast"/>
        </w:trPr>
        <w:tc>
          <w:tcPr>
            <w:tcW w:w="1468"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357"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Domingo a viernes del 01 de noviembre 2024 al 30 de abril 2025</w:t>
            </w:r>
          </w:p>
        </w:tc>
      </w:tr>
      <w:tr>
        <w:trPr>
          <w:trHeight w:val="255" w:hRule="atLeast"/>
        </w:trPr>
        <w:tc>
          <w:tcPr>
            <w:tcW w:w="1468"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357"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07 días / 06 noches</w:t>
            </w:r>
          </w:p>
        </w:tc>
      </w:tr>
      <w:tr>
        <w:trPr>
          <w:trHeight w:val="255" w:hRule="atLeast"/>
        </w:trPr>
        <w:tc>
          <w:tcPr>
            <w:tcW w:w="1468"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357"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04 desayunos</w:t>
            </w:r>
          </w:p>
        </w:tc>
      </w:tr>
    </w:tbl>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drawing>
          <wp:anchor behindDoc="0" distT="0" distB="0" distL="0" distR="0" simplePos="0" locked="0" layoutInCell="0" allowOverlap="1" relativeHeight="8">
            <wp:simplePos x="0" y="0"/>
            <wp:positionH relativeFrom="column">
              <wp:posOffset>14605</wp:posOffset>
            </wp:positionH>
            <wp:positionV relativeFrom="paragraph">
              <wp:posOffset>33655</wp:posOffset>
            </wp:positionV>
            <wp:extent cx="2105025" cy="118427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105025" cy="1184275"/>
                    </a:xfrm>
                    <a:prstGeom prst="rect">
                      <a:avLst/>
                    </a:prstGeom>
                  </pic:spPr>
                </pic:pic>
              </a:graphicData>
            </a:graphic>
          </wp:anchor>
        </w:drawing>
        <w:drawing>
          <wp:anchor behindDoc="0" distT="0" distB="0" distL="0" distR="0" simplePos="0" locked="0" layoutInCell="0" allowOverlap="1" relativeHeight="9">
            <wp:simplePos x="0" y="0"/>
            <wp:positionH relativeFrom="column">
              <wp:posOffset>2275840</wp:posOffset>
            </wp:positionH>
            <wp:positionV relativeFrom="paragraph">
              <wp:posOffset>43815</wp:posOffset>
            </wp:positionV>
            <wp:extent cx="1827530" cy="121729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827530" cy="1217295"/>
                    </a:xfrm>
                    <a:prstGeom prst="rect">
                      <a:avLst/>
                    </a:prstGeom>
                  </pic:spPr>
                </pic:pic>
              </a:graphicData>
            </a:graphic>
          </wp:anchor>
        </w:drawing>
        <w:drawing>
          <wp:anchor behindDoc="0" distT="0" distB="0" distL="0" distR="0" simplePos="0" locked="0" layoutInCell="0" allowOverlap="1" relativeHeight="10">
            <wp:simplePos x="0" y="0"/>
            <wp:positionH relativeFrom="column">
              <wp:posOffset>4279900</wp:posOffset>
            </wp:positionH>
            <wp:positionV relativeFrom="paragraph">
              <wp:posOffset>31115</wp:posOffset>
            </wp:positionV>
            <wp:extent cx="1855470" cy="123253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855470" cy="1232535"/>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8"/>
          <w:szCs w:val="10"/>
          <w:lang w:val="es-ES_tradnl" w:eastAsia="es-ES"/>
        </w:rPr>
      </w:pPr>
      <w:r>
        <w:rPr>
          <w:rFonts w:eastAsia="Times New Roman" w:cs="Arial" w:ascii="Arial" w:hAnsi="Arial"/>
          <w:b/>
          <w:sz w:val="8"/>
          <w:szCs w:val="10"/>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 xml:space="preserve">Toronto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t>Bienvenido a la Ciudad de Toronto. Traslado privado del Aeropuerto al Hotel. Tiempo libre para explorar la ciudad. Alojamiento enToronto.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Toronto</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en el Hotel. El recorrido se inicia con la visita a la Ciudad de Toronto, capital económica del País. Paseo por los siguientes lugares: Antiguo y nuevo City Hall, Parlamento, Barrio Chino, Universidad de Toronto y Ontario Place. Tiempo libre para explorar la Ciudad .  Incluimos la admisión a la Torre CN.Alojamiento en Toronto</w:t>
      </w:r>
    </w:p>
    <w:p>
      <w:pPr>
        <w:pStyle w:val="Normal"/>
        <w:spacing w:lineRule="auto" w:line="240" w:before="0" w:after="0"/>
        <w:jc w:val="both"/>
        <w:rPr>
          <w:rFonts w:ascii="Arial" w:hAnsi="Arial" w:cs="Arial"/>
          <w:b/>
          <w:b/>
          <w:sz w:val="18"/>
          <w:szCs w:val="18"/>
        </w:rPr>
      </w:pPr>
      <w:r>
        <w:rPr>
          <w:rFonts w:cs="Arial" w:ascii="Arial" w:hAnsi="Arial"/>
          <w:b/>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w:t>
        <w:tab/>
        <w:t xml:space="preserve">Toronto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t xml:space="preserve">Día libre en Toronto. Alojamiento en Toronto. </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w:t>
        <w:tab/>
      </w:r>
      <w:r>
        <w:rPr>
          <w:rFonts w:eastAsia="Times New Roman" w:cs="Arial" w:ascii="Arial" w:hAnsi="Arial"/>
          <w:b/>
          <w:i w:val="false"/>
          <w:caps w:val="false"/>
          <w:smallCaps w:val="false"/>
          <w:color w:val="E36C0A" w:themeColor="accent6" w:themeShade="bf"/>
          <w:spacing w:val="0"/>
          <w:sz w:val="18"/>
          <w:szCs w:val="18"/>
          <w:lang w:val="es-ES_tradnl" w:eastAsia="es-ES"/>
        </w:rPr>
        <w:t xml:space="preserve">Toronto – Cataratas del Niagara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en el Hotel. Salida por la mañana hacia Niagara (vista en privado en español) Parada en el pueblo de Niagara-on-the-lake, lugar tradicional de estilo Vitoriano que tiene como atractivo sus Viñedos.  Visita de la Ciudad y sus famosas Cataratas. Tiempo libre para explorar Niagara.Alojamiento en Niagara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w:t>
        <w:tab/>
        <w:t xml:space="preserve"> Cataratas del Niagara </w:t>
      </w:r>
    </w:p>
    <w:p>
      <w:pPr>
        <w:pStyle w:val="NormalWeb"/>
        <w:spacing w:beforeAutospacing="0" w:before="0" w:afterAutospacing="0" w:after="0"/>
        <w:jc w:val="both"/>
        <w:textAlignment w:val="baseline"/>
        <w:rPr>
          <w:rFonts w:ascii="Arial" w:hAnsi="Arial" w:cs="Arial"/>
          <w:color w:val="707070"/>
          <w:sz w:val="18"/>
          <w:szCs w:val="18"/>
        </w:rPr>
      </w:pPr>
      <w:r>
        <w:rPr>
          <w:rFonts w:cs="Arial" w:ascii="Arial" w:hAnsi="Arial"/>
          <w:color w:val="000000" w:themeColor="text1"/>
          <w:sz w:val="18"/>
          <w:szCs w:val="18"/>
        </w:rPr>
        <w:t xml:space="preserve">Hoy incluimos la admisión a los túneles escénicos en las Cataratas del Niagara. Resto del día libre. </w:t>
      </w:r>
    </w:p>
    <w:p>
      <w:pPr>
        <w:pStyle w:val="NormalWeb"/>
        <w:spacing w:beforeAutospacing="0" w:before="0" w:afterAutospacing="0" w:after="0"/>
        <w:jc w:val="both"/>
        <w:textAlignment w:val="baseline"/>
        <w:rPr>
          <w:rFonts w:ascii="Arial" w:hAnsi="Arial" w:cs="Arial"/>
          <w:i/>
          <w:i/>
          <w:iCs/>
          <w:color w:val="595959" w:themeColor="text1" w:themeTint="a6"/>
          <w:sz w:val="18"/>
          <w:szCs w:val="18"/>
        </w:rPr>
      </w:pPr>
      <w:r>
        <w:rPr>
          <w:rFonts w:cs="Arial" w:ascii="Arial" w:hAnsi="Arial"/>
          <w:i/>
          <w:iCs/>
          <w:color w:val="595959" w:themeColor="text1" w:themeTint="a6"/>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 xml:space="preserve"> Cataras del Niagara - Toronto</w:t>
      </w:r>
    </w:p>
    <w:p>
      <w:pPr>
        <w:pStyle w:val="NormalWeb"/>
        <w:spacing w:beforeAutospacing="0" w:before="0" w:afterAutospacing="0" w:after="75"/>
        <w:jc w:val="both"/>
        <w:textAlignment w:val="baseline"/>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en el Hotel. Tiempo libre. Traslado privado de regreso a Toronto. Alojamiento en Toronto</w:t>
      </w:r>
    </w:p>
    <w:p>
      <w:pPr>
        <w:pStyle w:val="NormalWeb"/>
        <w:spacing w:beforeAutospacing="0" w:before="0" w:afterAutospacing="0" w:after="0"/>
        <w:jc w:val="both"/>
        <w:textAlignment w:val="baseline"/>
        <w:rPr/>
      </w:pPr>
      <w:r>
        <w:rPr/>
      </w:r>
    </w:p>
    <w:p>
      <w:pPr>
        <w:pStyle w:val="Normal"/>
        <w:spacing w:lineRule="auto" w:line="240" w:before="0" w:after="0"/>
        <w:jc w:val="both"/>
        <w:rPr>
          <w:rFonts w:ascii="Arial" w:hAnsi="Arial" w:cs="Arial"/>
          <w:sz w:val="18"/>
          <w:szCs w:val="18"/>
        </w:rPr>
      </w:pPr>
      <w:r>
        <w:rPr>
          <w:rFonts w:eastAsia="Times New Roman" w:cs="Arial" w:ascii="Arial" w:hAnsi="Arial"/>
          <w:b/>
          <w:color w:val="E36C0A" w:themeColor="accent6" w:themeShade="bf"/>
          <w:sz w:val="18"/>
          <w:szCs w:val="18"/>
          <w:lang w:val="es-ES_tradnl" w:eastAsia="es-ES"/>
        </w:rPr>
        <w:t>Día 7</w:t>
        <w:tab/>
        <w:t xml:space="preserve"> Toronto</w:t>
      </w:r>
    </w:p>
    <w:p>
      <w:pPr>
        <w:pStyle w:val="NormalWeb"/>
        <w:spacing w:beforeAutospacing="0" w:before="0" w:afterAutospacing="0" w:after="0"/>
        <w:jc w:val="both"/>
        <w:textAlignment w:val="baseline"/>
        <w:rPr>
          <w:i w:val="false"/>
          <w:i w:val="false"/>
          <w:iCs w:val="false"/>
        </w:rPr>
      </w:pPr>
      <w:r>
        <w:rPr>
          <w:rFonts w:cs="Arial" w:ascii="Arial" w:hAnsi="Arial"/>
          <w:b/>
          <w:bCs/>
          <w:i/>
          <w:iCs/>
          <w:color w:val="000000" w:themeColor="text1"/>
          <w:sz w:val="18"/>
          <w:szCs w:val="18"/>
          <w:u w:val="single"/>
          <w:lang w:val="es-ES" w:eastAsia="es-ES"/>
        </w:rPr>
        <w:t>Desayuno</w:t>
      </w:r>
      <w:r>
        <w:rPr>
          <w:rFonts w:cs="Arial" w:ascii="Arial" w:hAnsi="Arial"/>
          <w:i w:val="false"/>
          <w:iCs w:val="false"/>
          <w:color w:val="000000" w:themeColor="text1"/>
          <w:sz w:val="18"/>
          <w:szCs w:val="18"/>
          <w:lang w:val="es-ES" w:eastAsia="es-ES"/>
        </w:rPr>
        <w:t xml:space="preserve"> en el Hotel. Traslado hacia el aeropuerto de Montreal para tomar su vuelo de vuelta.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pPr w:vertAnchor="text" w:horzAnchor="text" w:tblpXSpec="center" w:leftFromText="141" w:rightFromText="141" w:tblpY="1"/>
        <w:tblW w:w="5937"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563"/>
        <w:gridCol w:w="3034"/>
        <w:gridCol w:w="1340"/>
      </w:tblGrid>
      <w:tr>
        <w:trPr>
          <w:trHeight w:val="340" w:hRule="atLeast"/>
        </w:trPr>
        <w:tc>
          <w:tcPr>
            <w:tcW w:w="1563"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CIUDAD</w:t>
            </w:r>
          </w:p>
        </w:tc>
        <w:tc>
          <w:tcPr>
            <w:tcW w:w="3034"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HOTEL</w:t>
            </w:r>
          </w:p>
        </w:tc>
        <w:tc>
          <w:tcPr>
            <w:tcW w:w="1340"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CATEGORÍA</w:t>
            </w:r>
          </w:p>
        </w:tc>
      </w:tr>
      <w:tr>
        <w:trPr>
          <w:trHeight w:val="340" w:hRule="atLeast"/>
        </w:trPr>
        <w:tc>
          <w:tcPr>
            <w:tcW w:w="1563" w:type="dxa"/>
            <w:vMerge w:val="restart"/>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Toronto</w:t>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Chelsea hotel  o similar</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40" w:hRule="atLeast"/>
        </w:trPr>
        <w:tc>
          <w:tcPr>
            <w:tcW w:w="1563" w:type="dxa"/>
            <w:vMerge w:val="continue"/>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Germain Hotel Toronto Mercer</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Superior</w:t>
            </w:r>
          </w:p>
        </w:tc>
      </w:tr>
      <w:tr>
        <w:trPr>
          <w:trHeight w:val="340" w:hRule="atLeast"/>
        </w:trPr>
        <w:tc>
          <w:tcPr>
            <w:tcW w:w="1563" w:type="dxa"/>
            <w:vMerge w:val="restart"/>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Cataratas del Niagara</w:t>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Clifton Victoria on the Falls</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40" w:hRule="atLeast"/>
        </w:trPr>
        <w:tc>
          <w:tcPr>
            <w:tcW w:w="1563" w:type="dxa"/>
            <w:vMerge w:val="continue"/>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303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Marriott Fallsview</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Superior</w:t>
            </w:r>
          </w:p>
        </w:tc>
      </w:tr>
    </w:tbl>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tbl>
      <w:tblPr>
        <w:tblW w:w="946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677"/>
        <w:gridCol w:w="1446"/>
        <w:gridCol w:w="1285"/>
        <w:gridCol w:w="1273"/>
        <w:gridCol w:w="1392"/>
        <w:gridCol w:w="1392"/>
      </w:tblGrid>
      <w:tr>
        <w:trPr>
          <w:trHeight w:val="340" w:hRule="atLeast"/>
        </w:trPr>
        <w:tc>
          <w:tcPr>
            <w:tcW w:w="2677"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DOMINGO A VIERNES</w:t>
            </w:r>
          </w:p>
        </w:tc>
        <w:tc>
          <w:tcPr>
            <w:tcW w:w="1446"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85"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3"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9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9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r>
      <w:tr>
        <w:trPr>
          <w:trHeight w:val="596" w:hRule="atLeast"/>
        </w:trPr>
        <w:tc>
          <w:tcPr>
            <w:tcW w:w="2677" w:type="dxa"/>
            <w:vMerge w:val="restart"/>
            <w:tcBorders>
              <w:top w:val="single" w:sz="4" w:space="0" w:color="E26B0A"/>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b/>
                <w:b/>
                <w:bCs/>
                <w:color w:val="C9211E"/>
              </w:rPr>
            </w:pPr>
            <w:r>
              <w:rPr>
                <w:rFonts w:eastAsia="Times New Roman" w:cs="Arial" w:ascii="Arial" w:hAnsi="Arial"/>
                <w:b/>
                <w:bCs/>
                <w:color w:val="C9211E"/>
                <w:sz w:val="18"/>
                <w:szCs w:val="18"/>
                <w:lang w:eastAsia="es-ES"/>
              </w:rPr>
              <w:t>2024</w:t>
            </w:r>
          </w:p>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val="false"/>
                <w:bCs w:val="false"/>
                <w:sz w:val="18"/>
                <w:szCs w:val="18"/>
                <w:lang w:eastAsia="es-ES"/>
              </w:rPr>
              <w:t>Noviembre 01 - Diciembre 21</w:t>
            </w:r>
          </w:p>
          <w:p>
            <w:pPr>
              <w:pStyle w:val="Normal"/>
              <w:widowControl w:val="false"/>
              <w:spacing w:lineRule="auto" w:line="240" w:before="0" w:after="0"/>
              <w:jc w:val="center"/>
              <w:rPr>
                <w:b/>
                <w:b/>
                <w:bCs/>
                <w:color w:val="C9211E"/>
              </w:rPr>
            </w:pPr>
            <w:r>
              <w:rPr>
                <w:rFonts w:eastAsia="Times New Roman" w:cs="Arial" w:ascii="Arial" w:hAnsi="Arial"/>
                <w:b/>
                <w:bCs/>
                <w:color w:val="C9211E"/>
                <w:sz w:val="18"/>
                <w:szCs w:val="18"/>
                <w:lang w:eastAsia="es-ES"/>
              </w:rPr>
              <w:t>2025</w:t>
            </w:r>
          </w:p>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val="false"/>
                <w:bCs w:val="false"/>
                <w:sz w:val="18"/>
                <w:szCs w:val="18"/>
                <w:lang w:eastAsia="es-ES"/>
              </w:rPr>
              <w:t>Enero 02 - Abril 30</w:t>
            </w:r>
          </w:p>
        </w:tc>
        <w:tc>
          <w:tcPr>
            <w:tcW w:w="144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sz w:val="18"/>
                <w:szCs w:val="18"/>
                <w:lang w:eastAsia="es-ES"/>
              </w:rPr>
              <w:t>Turista</w:t>
            </w:r>
          </w:p>
        </w:tc>
        <w:tc>
          <w:tcPr>
            <w:tcW w:w="128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3,879</w:t>
            </w:r>
          </w:p>
        </w:tc>
        <w:tc>
          <w:tcPr>
            <w:tcW w:w="127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2,092</w:t>
            </w:r>
          </w:p>
        </w:tc>
        <w:tc>
          <w:tcPr>
            <w:tcW w:w="139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1,588</w:t>
            </w:r>
          </w:p>
        </w:tc>
        <w:tc>
          <w:tcPr>
            <w:tcW w:w="139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1,450</w:t>
            </w:r>
          </w:p>
        </w:tc>
      </w:tr>
      <w:tr>
        <w:trPr>
          <w:trHeight w:val="570" w:hRule="atLeast"/>
        </w:trPr>
        <w:tc>
          <w:tcPr>
            <w:tcW w:w="2677" w:type="dxa"/>
            <w:vMerge w:val="continue"/>
            <w:tcBorders>
              <w:top w:val="single" w:sz="4" w:space="0" w:color="E26B0A"/>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144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pPr>
            <w:r>
              <w:rPr>
                <w:rFonts w:eastAsia="Times New Roman" w:cs="Arial" w:ascii="Arial" w:hAnsi="Arial"/>
                <w:sz w:val="18"/>
                <w:szCs w:val="18"/>
                <w:lang w:eastAsia="es-ES"/>
              </w:rPr>
              <w:t>Superior</w:t>
            </w:r>
          </w:p>
        </w:tc>
        <w:tc>
          <w:tcPr>
            <w:tcW w:w="128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5,009</w:t>
            </w:r>
          </w:p>
        </w:tc>
        <w:tc>
          <w:tcPr>
            <w:tcW w:w="127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2,604</w:t>
            </w:r>
          </w:p>
        </w:tc>
        <w:tc>
          <w:tcPr>
            <w:tcW w:w="139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1,978</w:t>
            </w:r>
          </w:p>
        </w:tc>
        <w:tc>
          <w:tcPr>
            <w:tcW w:w="139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1,718</w:t>
            </w:r>
          </w:p>
        </w:tc>
      </w:tr>
    </w:tbl>
    <w:p>
      <w:pPr>
        <w:pStyle w:val="Normal"/>
        <w:spacing w:lineRule="auto" w:line="240" w:before="0" w:after="0"/>
        <w:jc w:val="both"/>
        <w:rPr>
          <w:rStyle w:val="Eop"/>
          <w:rFonts w:ascii="Arial" w:hAnsi="Arial" w:eastAsia="Times New Roman" w:cs="Arial"/>
          <w:b/>
          <w:b/>
          <w:i/>
          <w:i/>
          <w:iCs/>
          <w:color w:val="000000" w:themeColor="text1"/>
          <w:sz w:val="18"/>
          <w:szCs w:val="18"/>
          <w:lang w:eastAsia="es-ES"/>
        </w:rPr>
      </w:pPr>
      <w:r>
        <w:rPr>
          <w:rFonts w:eastAsia="Times New Roman" w:cs="Arial" w:ascii="Arial" w:hAnsi="Arial"/>
          <w:b/>
          <w:i/>
          <w:iCs/>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lang w:val="es-ES" w:eastAsia="es-ES"/>
        </w:rPr>
        <w:t xml:space="preserve">Traslado privado: aeropuerto – hotel Toronto – Cataratas del Niagara – hotel Toronto - aeropuerto </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02 noches de alojamiento en Cataratas del Niagara</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04 noches de alojamiento en Toronto</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Acceso a la CN Tower</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b w:val="false"/>
          <w:bCs w:val="false"/>
          <w:i w:val="false"/>
          <w:iCs w:val="false"/>
          <w:color w:val="0D0D0D" w:themeColor="text1" w:themeTint="f2"/>
          <w:sz w:val="18"/>
          <w:szCs w:val="18"/>
          <w:lang w:val="es-ES" w:eastAsia="es-ES"/>
        </w:rPr>
        <w:t>Tour de ciudad en Toronto con guía en habla hispana</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b w:val="false"/>
          <w:bCs w:val="false"/>
          <w:i w:val="false"/>
          <w:iCs w:val="false"/>
          <w:color w:val="0D0D0D" w:themeColor="text1" w:themeTint="f2"/>
          <w:sz w:val="18"/>
          <w:szCs w:val="18"/>
          <w:lang w:val="es-ES" w:eastAsia="es-ES"/>
        </w:rPr>
        <w:t>Tour en Cataratas del Niagara en privado en español</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Todos los impuestos aplicables.</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eastAsia="es-ES"/>
        </w:rPr>
        <w:t>Guía acompañante de habla hispana durante todo el recorrido.</w:t>
      </w:r>
      <w:r>
        <w:rPr>
          <w:rFonts w:eastAsia="Times New Roman" w:cs="Arial" w:ascii="Arial" w:hAnsi="Arial"/>
          <w:color w:val="0D0D0D" w:themeColor="text1" w:themeTint="f2"/>
          <w:sz w:val="18"/>
          <w:szCs w:val="18"/>
          <w:lang w:eastAsia="es-ES"/>
        </w:rPr>
        <w:t xml:space="preserve"> </w:t>
      </w:r>
    </w:p>
    <w:p>
      <w:pPr>
        <w:pStyle w:val="ListParagraph"/>
        <w:numPr>
          <w:ilvl w:val="0"/>
          <w:numId w:val="5"/>
        </w:numPr>
        <w:spacing w:lineRule="auto" w:line="240" w:before="0" w:after="0"/>
        <w:contextualSpacing/>
        <w:jc w:val="both"/>
        <w:textAlignment w:val="baseline"/>
        <w:rPr>
          <w:rFonts w:ascii="Arial" w:hAnsi="Arial" w:eastAsia="Times New Roman" w:cs="Arial"/>
          <w:color w:val="0D0D0D" w:themeColor="text1" w:themeTint="f2"/>
          <w:sz w:val="18"/>
          <w:szCs w:val="18"/>
          <w:lang w:eastAsia="es-ES"/>
        </w:rPr>
      </w:pPr>
      <w:r>
        <w:rPr>
          <w:rFonts w:eastAsia="Times New Roman" w:cs="Arial" w:ascii="Arial" w:hAnsi="Arial"/>
          <w:color w:val="0D0D0D" w:themeColor="text1" w:themeTint="f2"/>
          <w:sz w:val="18"/>
          <w:szCs w:val="18"/>
          <w:lang w:eastAsia="es-ES"/>
        </w:rPr>
        <w:t>Todas las visitas mencionadas en el itinerario salvo cuando se indica que son visitas opcionales</w:t>
      </w:r>
    </w:p>
    <w:p>
      <w:pPr>
        <w:pStyle w:val="NoSpacing"/>
        <w:widowControl w:val="false"/>
        <w:numPr>
          <w:ilvl w:val="0"/>
          <w:numId w:val="5"/>
        </w:numPr>
        <w:jc w:val="both"/>
        <w:textAlignment w:val="baseline"/>
        <w:rPr>
          <w:rFonts w:ascii="Arial" w:hAnsi="Arial" w:cs="Arial"/>
          <w:b/>
          <w:b/>
          <w:bCs/>
          <w:i/>
          <w:i/>
          <w:iCs/>
          <w:color w:val="0D0D0D" w:themeColor="text1" w:themeTint="f2"/>
          <w:sz w:val="18"/>
          <w:szCs w:val="18"/>
          <w:lang w:val="es-ES" w:eastAsia="es-ES"/>
        </w:rPr>
      </w:pPr>
      <w:r>
        <w:rPr>
          <w:rFonts w:cs="Arial" w:ascii="Arial" w:hAnsi="Arial"/>
          <w:b/>
          <w:bCs/>
          <w:i/>
          <w:iCs/>
          <w:color w:val="0D0D0D" w:themeColor="text1" w:themeTint="f2"/>
          <w:sz w:val="18"/>
          <w:szCs w:val="18"/>
          <w:lang w:val="es-ES" w:eastAsia="es-ES"/>
        </w:rPr>
        <w:t>Seguro de viajero con cobertura COVID</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Toronto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Alimentos no mencionados durante el itinerario </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Manejo de equipaje extra</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Visa/eTA para Canadá</w:t>
      </w:r>
    </w:p>
    <w:p>
      <w:pPr>
        <w:pStyle w:val="NoSpacing"/>
        <w:widowControl w:val="false"/>
        <w:numPr>
          <w:ilvl w:val="0"/>
          <w:numId w:val="3"/>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1"/>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val="es-ES_tradnl" w:eastAsia="es-ES"/>
        </w:rPr>
      </w:pPr>
      <w:r>
        <w:rPr>
          <w:rFonts w:cs="Arial" w:ascii="Arial" w:hAnsi="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1"/>
        </w:numPr>
        <w:spacing w:lineRule="auto" w:line="240" w:before="0" w:after="0"/>
        <w:contextualSpacing/>
        <w:jc w:val="both"/>
        <w:rPr>
          <w:rFonts w:ascii="Arial" w:hAnsi="Arial" w:eastAsia="Times New Roman" w:cs="Arial"/>
          <w:color w:val="0D0D0D" w:themeColor="text1" w:themeTint="f2"/>
          <w:sz w:val="18"/>
          <w:szCs w:val="18"/>
          <w:u w:val="single"/>
          <w:lang w:val="es-MX" w:eastAsia="es-ES"/>
        </w:rPr>
      </w:pPr>
      <w:r>
        <w:rPr>
          <w:rFonts w:eastAsia="Times New Roman" w:cs="Arial" w:ascii="Arial" w:hAnsi="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Style w:val="Strong"/>
          <w:rFonts w:cs="Arial" w:ascii="Arial" w:hAnsi="Arial"/>
          <w:b w:val="false"/>
          <w:bCs w:val="false"/>
          <w:color w:val="0D0D0D" w:themeColor="text1" w:themeTint="f2"/>
          <w:sz w:val="18"/>
          <w:szCs w:val="18"/>
        </w:rPr>
        <w:t xml:space="preserve">Para poder confirmar los traslados debemos recibir la información completa 10 días hábiles antes de la salida. Si no recibimos la información dentro de este esquema, </w:t>
      </w:r>
      <w:r>
        <w:rPr>
          <w:rFonts w:cs="Arial" w:ascii="Arial" w:hAnsi="Arial"/>
          <w:color w:val="0D0D0D" w:themeColor="text1" w:themeTint="f2"/>
          <w:sz w:val="18"/>
          <w:szCs w:val="18"/>
        </w:rPr>
        <w:t>no se podrá proporcionar los servicios de traslados de entrada y/o salida, y no serán reembolsables.</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pPr>
        <w:pStyle w:val="NoSpacing"/>
        <w:widowControl w:val="false"/>
        <w:numPr>
          <w:ilvl w:val="0"/>
          <w:numId w:val="4"/>
        </w:numPr>
        <w:jc w:val="both"/>
        <w:textAlignment w:val="baseline"/>
        <w:rPr>
          <w:rFonts w:ascii="Arial" w:hAnsi="Arial" w:cs="Arial"/>
          <w:color w:val="0D0D0D" w:themeColor="text1" w:themeTint="f2"/>
          <w:sz w:val="18"/>
          <w:szCs w:val="18"/>
          <w:lang w:val="es-ES_tradnl" w:eastAsia="es-ES"/>
        </w:rPr>
      </w:pPr>
      <w:r>
        <w:rPr>
          <w:rFonts w:cs="Arial" w:ascii="Arial" w:hAnsi="Arial"/>
          <w:color w:val="0D0D0D" w:themeColor="text1" w:themeTint="f2"/>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color w:val="0D0D0D" w:themeColor="text1" w:themeTint="f2"/>
          <w:sz w:val="18"/>
          <w:szCs w:val="18"/>
          <w:u w:val="single"/>
          <w:lang w:eastAsia="es-ES"/>
        </w:rPr>
      </w:pPr>
      <w:r>
        <w:rPr>
          <w:rFonts w:eastAsia="Times New Roman" w:cs="Arial" w:ascii="Arial" w:hAnsi="Arial"/>
          <w:color w:val="0D0D0D" w:themeColor="text1" w:themeTint="f2"/>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DEL 01 DE NOVIEMBRE 2024 AL 30 DE ABRIL 2025</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86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637"/>
      </w:tblGrid>
      <w:tr>
        <w:trPr>
          <w:trHeight w:val="151"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6"/>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Antes de 48 días de la salida del pasajero: sin cargo.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47 y 45 días antes de la fecha de salida del pasajero: 25%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44 y 30 días antes de la fecha de salida del pasajero: 50%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29 y 15 días antes de la fecha de salida del pasajero: 80% del total de la reservación</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14 días antes de la llegada: 100%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2"/>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4"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4"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7">
          <wp:simplePos x="0" y="0"/>
          <wp:positionH relativeFrom="margin">
            <wp:align>left</wp:align>
          </wp:positionH>
          <wp:positionV relativeFrom="paragraph">
            <wp:posOffset>-220980</wp:posOffset>
          </wp:positionV>
          <wp:extent cx="1971675" cy="475615"/>
          <wp:effectExtent l="0" t="0" r="0" b="0"/>
          <wp:wrapSquare wrapText="bothSides"/>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3">
    <w:name w:val="Heading 3"/>
    <w:basedOn w:val="Ttulo"/>
    <w:next w:val="Cuerpodetexto"/>
    <w:qFormat/>
    <w:pPr>
      <w:spacing w:before="140" w:after="120"/>
      <w:outlineLvl w:val="2"/>
    </w:pPr>
    <w:rPr>
      <w:rFonts w:ascii="Liberation Serif" w:hAnsi="Liberation Serif" w:eastAsia="Segoe UI" w:cs="Tahoma"/>
      <w:b/>
      <w:bCs/>
      <w:sz w:val="28"/>
      <w:szCs w:val="28"/>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character" w:styleId="Strong">
    <w:name w:val="Strong"/>
    <w:basedOn w:val="DefaultParagraphFont"/>
    <w:uiPriority w:val="22"/>
    <w:qFormat/>
    <w:rsid w:val="00f57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paragraph" w:styleId="NormalWeb">
    <w:name w:val="Normal (Web)"/>
    <w:basedOn w:val="Normal"/>
    <w:uiPriority w:val="99"/>
    <w:unhideWhenUsed/>
    <w:qFormat/>
    <w:rsid w:val="00135e9d"/>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Default">
    <w:name w:val="Default"/>
    <w:qFormat/>
    <w:pPr>
      <w:widowControl/>
      <w:suppressAutoHyphens w:val="true"/>
      <w:bidi w:val="0"/>
      <w:spacing w:lineRule="auto" w:line="276" w:before="0" w:after="200"/>
      <w:jc w:val="left"/>
    </w:pPr>
    <w:rPr>
      <w:rFonts w:ascii="Arial" w:hAnsi="Arial" w:eastAsia="Calibri" w:cs=""/>
      <w:color w:val="000000"/>
      <w:kern w:val="0"/>
      <w:sz w:val="24"/>
      <w:szCs w:val="22"/>
      <w:lang w:val="es-MX"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8C4ADFEF-30A3-401E-90F0-3D9251C0B86A}"/>
</file>

<file path=customXml/itemProps3.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4.xml><?xml version="1.0" encoding="utf-8"?>
<ds:datastoreItem xmlns:ds="http://schemas.openxmlformats.org/officeDocument/2006/customXml" ds:itemID="{49322027-CF3B-4D0C-9467-EA6D6CA4E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377</TotalTime>
  <Application>LibreOffice/7.3.5.2$Windows_X86_64 LibreOffice_project/184fe81b8c8c30d8b5082578aee2fed2ea847c01</Application>
  <AppVersion>15.0000</AppVersion>
  <Pages>3</Pages>
  <Words>1324</Words>
  <Characters>6765</Characters>
  <CharactersWithSpaces>7980</CharactersWithSpaces>
  <Paragraphs>112</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2024-09-17T21:31:00Z</dcterms:created>
  <dc:creator>V2784160</dc:creator>
  <dc:description/>
  <dc:language>es-MX</dc:language>
  <cp:lastModifiedBy/>
  <cp:lastPrinted>2023-05-09T02:06:00Z</cp:lastPrinted>
  <dcterms:modified xsi:type="dcterms:W3CDTF">2024-09-19T10:47:50Z</dcterms:modified>
  <cp:revision>52</cp:revision>
  <dc:subject/>
  <dc:title>Montréal &amp; Tremblant Jet-Set / FIT VENTA LIBRE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